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ضرب و جرح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منعتم في الكتاب عن الجدال والنّزاع والضّرب وأمثالها عمّا تحزن به الأفئدة والقلوب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ومن اغتاظ عليكم قابلوه بالرّفق والّذي زجركم لا تزجروه دعوه بنفسه وتوكّلوا على الله المنتقم العادل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القدير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3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وأمّ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الشّجاج والضّرب تختلف أحكامهما باختلاف مقاديرهما وحكم الدّيان لكلّ مقدار ديّة معيّنة إنّه لهو الحاكم العزيز المنيع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eastAsia="Wingdings 2" w:cs="Wingdings 2" w:ascii="Wingdings 2" w:hAnsi="Wingdings 2"/>
          <w:sz w:val="28"/>
          <w:szCs w:val="28"/>
        </w:rPr>
        <w:t>õ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لو نش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ء نفصّلها بالحقّ وعدا من عندنا إنّه لهو الموفي العليم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56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بيت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اقدس ابهی تصريح می فرمايند که مقدار ديه بستگی به شدّت ضرب و جرح دارد ، ولی در آثار قلم اعلی جزئيات مربوط به مقدار غرامتی که بايد به تناسب شدّت ضرب پرداخت گردد مذکور نگشته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تعيين اين امور به بيت العدل اعظم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sz w:val="24"/>
        <w:szCs w:val="24"/>
        <w:lang w:bidi="fa-IR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fa-IR"/>
      </w:rPr>
      <w:t>نهی از ضرب و جرح</w:t>
    </w:r>
  </w:p>
  <w:p>
    <w:pPr>
      <w:pStyle w:val="Header"/>
      <w:jc w:val="right"/>
      <w:rPr>
        <w:rFonts w:ascii="Arial" w:hAnsi="Arial" w:cs="Arial"/>
        <w:color w:val="000000"/>
        <w:sz w:val="24"/>
        <w:szCs w:val="24"/>
        <w:lang w:bidi="fa-IR"/>
      </w:rPr>
    </w:pPr>
    <w:r>
      <w:rPr>
        <w:rFonts w:cs="Arial" w:ascii="Arial" w:hAnsi="Arial"/>
        <w:color w:val="000000"/>
        <w:sz w:val="24"/>
        <w:szCs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