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القتل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الخطأ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المُتعمّد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 قتل نفسا خطأً فله دِيَّةٌ مُسَلَّمَةٌ إلى أهلها وهي مئة مثقال من الذهب اعملوا بما أُمرتم به في اللّوح ولا تكوننّ من المتجاوزين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أعاد حضرة بهاءالله من جديد تحريم قتل النّفس في مجموعة الآيات </w:t>
      </w:r>
      <w:r>
        <w:rPr>
          <w:rFonts w:cs="Traditional Arabic" w:ascii="Traditional Arabic" w:hAnsi="Traditional Arabic"/>
          <w:sz w:val="28"/>
          <w:szCs w:val="28"/>
        </w:rPr>
        <w:t>73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الكتاب 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وقد فرض عقوبة لمرتكب القتل العمد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الشّرح فقرة </w:t>
      </w:r>
      <w:r>
        <w:rPr>
          <w:rFonts w:cs="Traditional Arabic" w:ascii="Traditional Arabic" w:hAnsi="Traditional Arabic"/>
          <w:sz w:val="28"/>
          <w:szCs w:val="28"/>
        </w:rPr>
        <w:t>86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وأوجب دفع ديّة معيّنة لأهل المقتول في حالات القتل الخطأ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</w:rPr>
    </w:pPr>
    <w:r>
      <w:rPr>
        <w:rFonts w:cs="Arial" w:ascii="Arial" w:hAnsi="Arial"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