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معاشرات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پیروان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جمیع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ادیان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روح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ریحان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عاشروا مع الأديان بالرّوح والرّيحان ليجدوا منكم عرف الرّحمن إيّاكم أن تأخذكم حميّة الجاهليّ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ة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بين البريّة كلّ بدء من الله ويعود إليه إنّه لمبدء الخلق ومرجع 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وكذلك رفع الله حكم دون الطّهارة عن كلّ الأشيآء وعن ملل أخرى موهبة من الله إنّه لهو الغفور 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قد انغمست الأشيآء في بحر الطّهارة في أوّل الرّضوان إذ تجلّينا على من في الإمكان بأسمآئنا الحسنى وصفاتنا العليا هذا من فضلي الّذي أحاط 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لتعاشروا مع الأديان وتبلّغوا أمر ربّكم الرّحمن هذا لإكليل الأعمال لو أنتم من 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هفتم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دانايان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باسبابی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وآسايش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افتخار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افتخار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بوطن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کشتی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فردوسيّه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شاخسار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لَيْسَ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الْفَخْرُ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يُحِبُّ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الْوَطَنَ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يُحِبُّ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الْعَالَمَ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اشراق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ششم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رفع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تعصّبات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جنسيّه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منازعات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مذهبيّه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رفع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تعصبّات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جنسيّه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ونزاعی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کدورت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ابتلائی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تعصبّات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ميکوشيم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تعصبّات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پيام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ملکوت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مذهبی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مبتلا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جنگها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وخونريزيها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يامنبعث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منبعث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منبعث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تعصبّات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قرمز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يکسانست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پروردگار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ممتازند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وعداوت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عاميانه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ووطنيّه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اوهامات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تجرّد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طائفه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کُرهی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کثيفه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عاميانه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مداخله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تصحيح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عَلَيْکُمُ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التَّحِيَّةِ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وَالثَّنَاءُ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تعصبّات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ومذاهب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مذهبی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صناعی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زراعی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جيمع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مُشيّد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ابوالبشر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تنازع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عرصهز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پروردگار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عَلَيْکُمُ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الْبَهَاءُ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الْاَبهی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رنگها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عبوديّت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،سفيد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نرساند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نيکوتر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حُکْمی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اندازيد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ابداًالوان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متّحد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متّفق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فرانسوی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ژاپانی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آمريکائی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حُکمی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اوهامات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١١٠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اقتصادی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تعصبّها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ششهزار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تارييخ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ششهزار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خونخواری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راقليمی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منبعث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منبعث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منبعث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منبعث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محقّق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تعصبّات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تعصبّات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منازعه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خونخواری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درندگی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٢٨٨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صُوَر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کافّه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مبتنی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بالغه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تنوّع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يکرنگی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اصواتِ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متنوّعه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مقترن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موزون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نغمه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دلپذير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متلذّذ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محظوظ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انسلاخ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تعصبّات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مجهودات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فصلی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تخصيص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موضوع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مهمّ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تعليمات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مؤکّدی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ميفرمايند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 .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معاشرات با پیروان جمیع ادیان با روح و ریحان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