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jc w:val="center"/>
        <w:rPr>
          <w:rFonts w:ascii="Calibri" w:hAnsi="Calibri" w:cs="Traditional Arabic"/>
          <w:b/>
          <w:b/>
          <w:bCs/>
          <w:color w:val="FF0000"/>
          <w:sz w:val="52"/>
          <w:szCs w:val="52"/>
          <w:u w:val="single"/>
        </w:rPr>
      </w:pPr>
      <w:r>
        <w:rPr>
          <w:rFonts w:cs="Traditional Arabic" w:ascii="Calibri" w:hAnsi="Calibri"/>
          <w:b/>
          <w:bCs/>
          <w:color w:val="FF0000"/>
          <w:sz w:val="52"/>
          <w:szCs w:val="52"/>
          <w:u w:val="single"/>
        </w:rPr>
        <w:t>Prohibition of the Wearing of Silk</w:t>
      </w:r>
    </w:p>
    <w:p>
      <w:pPr>
        <w:pStyle w:val="PlainText"/>
        <w:jc w:val="both"/>
        <w:rPr>
          <w:rFonts w:ascii="Calibri" w:hAnsi="Calibri" w:cs="Traditional Arabic"/>
          <w:b/>
          <w:b/>
          <w:bCs/>
          <w:color w:val="FF0000"/>
          <w:sz w:val="28"/>
          <w:szCs w:val="28"/>
          <w:u w:val="single"/>
        </w:rPr>
      </w:pPr>
      <w:r>
        <w:rPr>
          <w:rFonts w:cs="Traditional Arabic" w:ascii="Calibri" w:hAnsi="Calibri"/>
          <w:b/>
          <w:bCs/>
          <w:color w:val="FF0000"/>
          <w:sz w:val="28"/>
          <w:szCs w:val="28"/>
          <w:u w:val="single"/>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both"/>
        <w:rPr>
          <w:rFonts w:ascii="Calibri" w:hAnsi="Calibri" w:cs="Calibri"/>
          <w:sz w:val="36"/>
          <w:szCs w:val="36"/>
        </w:rPr>
      </w:pPr>
      <w:r>
        <w:rPr>
          <w:rFonts w:cs="Calibri" w:ascii="Calibri" w:hAnsi="Calibri"/>
          <w:sz w:val="36"/>
          <w:szCs w:val="36"/>
        </w:rPr>
        <w:t>And permitted you to attire yourselves in silk</w:t>
      </w:r>
    </w:p>
    <w:p>
      <w:pPr>
        <w:pStyle w:val="Normal"/>
        <w:rPr/>
      </w:pPr>
      <w:r>
        <w:rPr>
          <w:rFonts w:cs="Traditional Arabic" w:ascii="Traditional Arabic" w:hAnsi="Traditional Arabic"/>
          <w:color w:val="0000CC"/>
          <w:sz w:val="28"/>
          <w:szCs w:val="28"/>
        </w:rPr>
        <w:t>(</w:t>
      </w:r>
      <w:r>
        <w:rPr>
          <w:color w:val="0000CC"/>
        </w:rPr>
        <w:t>The Kitáb-i-Aqdas, The Most Holy Book, Bahá’u’lláh, para. 159)</w:t>
      </w:r>
    </w:p>
    <w:p>
      <w:pPr>
        <w:pStyle w:val="PlainText"/>
        <w:jc w:val="both"/>
        <w:rPr>
          <w:rFonts w:ascii="Calibri" w:hAnsi="Calibri" w:cs="Traditional Arabic"/>
          <w:color w:val="0000CC"/>
          <w:sz w:val="28"/>
          <w:szCs w:val="28"/>
        </w:rPr>
      </w:pPr>
      <w:r>
        <w:rPr>
          <w:rFonts w:cs="Traditional Arabic" w:ascii="Calibri" w:hAnsi="Calibri"/>
          <w:color w:val="0000CC"/>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center"/>
        <w:rPr>
          <w:rFonts w:ascii="Calibri" w:hAnsi="Calibri" w:cs="Traditional Arabic"/>
          <w:color w:val="FF0000"/>
          <w:sz w:val="28"/>
          <w:szCs w:val="28"/>
        </w:rPr>
      </w:pPr>
      <w:r>
        <w:rPr>
          <w:rFonts w:eastAsia="Wingdings 2" w:cs="Wingdings 2" w:ascii="Wingdings 2" w:hAnsi="Wingdings 2"/>
          <w:color w:val="FF0000"/>
          <w:sz w:val="28"/>
          <w:szCs w:val="28"/>
        </w:rPr>
        <w:t></w:t>
      </w:r>
    </w:p>
    <w:p>
      <w:pPr>
        <w:pStyle w:val="Normal"/>
        <w:jc w:val="center"/>
        <w:rPr>
          <w:rFonts w:ascii="Calibri" w:hAnsi="Calibri" w:cs="Traditional Arabic"/>
          <w:b/>
          <w:b/>
          <w:bCs/>
          <w:color w:val="FF0000"/>
          <w:sz w:val="28"/>
          <w:szCs w:val="28"/>
          <w:lang w:bidi="fa-IR"/>
        </w:rPr>
      </w:pPr>
      <w:r>
        <w:rPr>
          <w:rFonts w:cs="Traditional Arabic"/>
          <w:b/>
          <w:bCs/>
          <w:color w:val="FF0000"/>
          <w:sz w:val="28"/>
          <w:szCs w:val="28"/>
          <w:lang w:bidi="fa-IR"/>
        </w:rPr>
      </w:r>
    </w:p>
    <w:p>
      <w:pPr>
        <w:pStyle w:val="Normal"/>
        <w:jc w:val="center"/>
        <w:rPr>
          <w:rFonts w:cs="Traditional Arabic"/>
          <w:b/>
          <w:b/>
          <w:bCs/>
          <w:sz w:val="28"/>
          <w:szCs w:val="28"/>
          <w:lang w:bidi="fa-IR"/>
        </w:rPr>
      </w:pPr>
      <w:r>
        <w:rPr>
          <w:rFonts w:cs="Traditional Arabic"/>
          <w:b/>
          <w:bCs/>
          <w:sz w:val="28"/>
          <w:szCs w:val="28"/>
          <w:lang w:bidi="fa-IR"/>
        </w:rPr>
      </w:r>
    </w:p>
    <w:p>
      <w:pPr>
        <w:pStyle w:val="Normal"/>
        <w:rPr>
          <w:sz w:val="36"/>
          <w:szCs w:val="36"/>
        </w:rPr>
      </w:pPr>
      <w:r>
        <w:rPr>
          <w:sz w:val="36"/>
          <w:szCs w:val="36"/>
        </w:rPr>
        <w:t xml:space="preserve">According to Islamic practice, the wearing of silk by men was generally forbidden, except in times of holy war. This prohibition, which was not based on the verses of the Qur’án, was abrogated by the Báb. </w:t>
      </w:r>
    </w:p>
    <w:p>
      <w:pPr>
        <w:pStyle w:val="Normal"/>
        <w:rPr/>
      </w:pPr>
      <w:r>
        <w:rPr>
          <w:rFonts w:cs="Traditional Arabic" w:ascii="Traditional Arabic" w:hAnsi="Traditional Arabic"/>
          <w:color w:val="0000CC"/>
          <w:sz w:val="28"/>
          <w:szCs w:val="28"/>
        </w:rPr>
        <w:t>(</w:t>
      </w:r>
      <w:r>
        <w:rPr>
          <w:color w:val="0000CC"/>
        </w:rPr>
        <w:t>The Kitáb-i-Aqdas, The Most Holy Book, Notes No. 174)</w:t>
      </w:r>
    </w:p>
    <w:p>
      <w:pPr>
        <w:pStyle w:val="Normal"/>
        <w:jc w:val="left"/>
        <w:rPr>
          <w:rFonts w:cs="Traditional Arabic"/>
          <w:b/>
          <w:b/>
          <w:bCs/>
          <w:color w:val="0000CC"/>
          <w:sz w:val="28"/>
          <w:szCs w:val="28"/>
          <w:lang w:bidi="fa-IR"/>
        </w:rPr>
      </w:pPr>
      <w:r>
        <w:rPr>
          <w:rFonts w:cs="Traditional Arabic"/>
          <w:b/>
          <w:bCs/>
          <w:color w:val="0000CC"/>
          <w:sz w:val="28"/>
          <w:szCs w:val="28"/>
          <w:lang w:bidi="fa-IR"/>
        </w:rPr>
      </w:r>
    </w:p>
    <w:p>
      <w:pPr>
        <w:pStyle w:val="Normal"/>
        <w:jc w:val="center"/>
        <w:rPr>
          <w:rFonts w:cs="Traditional Arabic"/>
          <w:b/>
          <w:b/>
          <w:bCs/>
          <w:color w:val="0000CC"/>
          <w:sz w:val="28"/>
          <w:szCs w:val="28"/>
          <w:lang w:bidi="fa-IR"/>
        </w:rPr>
      </w:pPr>
      <w:r>
        <w:rPr>
          <w:rFonts w:cs="Traditional Arabic"/>
          <w:b/>
          <w:bCs/>
          <w:color w:val="FF0000"/>
          <w:sz w:val="28"/>
          <w:szCs w:val="28"/>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p>
      <w:pPr>
        <w:pStyle w:val="Normal"/>
        <w:rPr>
          <w:rFonts w:cs="Traditional Arabic"/>
          <w:b/>
          <w:b/>
          <w:bCs/>
          <w:color w:val="0000CC"/>
          <w:sz w:val="28"/>
          <w:szCs w:val="28"/>
          <w:lang w:bidi="fa-IR"/>
        </w:rPr>
      </w:pPr>
      <w:r>
        <w:rPr>
          <w:rFonts w:cs="Traditional Arabic"/>
          <w:b/>
          <w:bCs/>
          <w:color w:val="0000CC"/>
          <w:sz w:val="28"/>
          <w:szCs w:val="28"/>
          <w:lang w:bidi="fa-IR"/>
        </w:rPr>
      </w:r>
    </w:p>
    <w:p>
      <w:pPr>
        <w:pStyle w:val="Normal"/>
        <w:rPr>
          <w:rFonts w:cs="Traditional Arabic"/>
          <w:b/>
          <w:b/>
          <w:bCs/>
          <w:color w:val="0000CC"/>
          <w:sz w:val="36"/>
          <w:szCs w:val="36"/>
          <w:lang w:bidi="fa-IR"/>
        </w:rPr>
      </w:pPr>
      <w:r>
        <w:rPr>
          <w:rFonts w:cs="Traditional Arabic"/>
          <w:b/>
          <w:bCs/>
          <w:color w:val="0000CC"/>
          <w:sz w:val="36"/>
          <w:szCs w:val="36"/>
          <w:lang w:bidi="fa-IR"/>
        </w:rPr>
      </w:r>
    </w:p>
    <w:p>
      <w:pPr>
        <w:pStyle w:val="Normal"/>
        <w:rPr>
          <w:rFonts w:cs="Traditional Arabic"/>
          <w:b/>
          <w:b/>
          <w:bCs/>
          <w:sz w:val="36"/>
          <w:szCs w:val="36"/>
          <w:lang w:bidi="fa-IR"/>
        </w:rPr>
      </w:pPr>
      <w:r>
        <w:rPr>
          <w:rFonts w:cs="Traditional Arabic"/>
          <w:b/>
          <w:bCs/>
          <w:sz w:val="36"/>
          <w:szCs w:val="36"/>
          <w:lang w:bidi="fa-IR"/>
        </w:rPr>
      </w:r>
    </w:p>
    <w:p>
      <w:pPr>
        <w:pStyle w:val="Normal"/>
        <w:tabs>
          <w:tab w:val="left" w:pos="3490" w:leader="none"/>
        </w:tabs>
        <w:rPr>
          <w:rFonts w:cs="Traditional Arabic"/>
          <w:sz w:val="36"/>
          <w:szCs w:val="36"/>
          <w:lang w:bidi="fa-IR"/>
        </w:rPr>
      </w:pPr>
      <w:r>
        <w:rPr>
          <w:rFonts w:cs="Traditional Arabic"/>
          <w:sz w:val="36"/>
          <w:szCs w:val="36"/>
          <w:lang w:bidi="fa-IR"/>
        </w:rPr>
        <w:tab/>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szCs w:val="18"/>
      </w:rPr>
    </w:pPr>
    <w:r>
      <w:rPr>
        <w:rFonts w:cs="Courier New" w:ascii="Courier New" w:hAnsi="Courier New"/>
        <w:color w:val="0000FF"/>
        <w:sz w:val="24"/>
        <w:szCs w:val="1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both"/>
      <w:rPr>
        <w:rFonts w:ascii="Arial" w:hAnsi="Arial" w:cs="Arial"/>
        <w:color w:val="000000"/>
        <w:sz w:val="24"/>
        <w:lang w:bidi="ar-JO"/>
      </w:rPr>
    </w:pPr>
    <w:r>
      <w:rPr>
        <w:rFonts w:cs="Arial" w:ascii="Arial" w:hAnsi="Arial"/>
        <w:color w:val="000000"/>
        <w:sz w:val="24"/>
        <w:rtl w:val="true"/>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