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غمس الأيدي في الطعام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6"/>
          <w:sz w:val="28"/>
          <w:szCs w:val="28"/>
          <w:lang w:bidi="ar-JO"/>
        </w:rPr>
      </w:pPr>
      <w:r>
        <w:rPr>
          <w:rFonts w:cs="Traditional Arabic" w:ascii="Traditional Arabic" w:hAnsi="Traditional Arabic"/>
          <w:spacing w:val="-6"/>
          <w:sz w:val="28"/>
          <w:szCs w:val="28"/>
        </w:rPr>
        <w:t>1</w:t>
      </w:r>
      <w:r>
        <w:rPr>
          <w:rFonts w:cs="Traditional Arabic" w:ascii="Traditional Arabic" w:hAnsi="Traditional Arabic"/>
          <w:spacing w:val="-6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>إيّاكم أن تنغمس أياديكم في الصّحاف والصّحان خذوا ما يكون أقرب إلى اللّطافة إنّه أراد أن يراكم على آداب أهل الر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ضوان في ملكوته الممتنع المنيع </w:t>
      </w:r>
      <w:r>
        <w:rPr>
          <w:rFonts w:cs="Traditional Arabic" w:ascii="Traditional Arabic" w:hAnsi="Traditional Arabic"/>
          <w:spacing w:val="-6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pacing w:val="-6"/>
          <w:sz w:val="28"/>
          <w:szCs w:val="28"/>
          <w:rtl w:val="true"/>
        </w:rPr>
        <w:t xml:space="preserve"> (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</w:rPr>
        <w:t xml:space="preserve">كتاب 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</w:rPr>
        <w:t>الأ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pacing w:val="-6"/>
          <w:sz w:val="28"/>
          <w:szCs w:val="28"/>
        </w:rPr>
        <w:t>46</w:t>
      </w:r>
      <w:r>
        <w:rPr>
          <w:rFonts w:cs="Traditional Arabic" w:ascii="Traditional Arabic" w:hAnsi="Traditional Arabic"/>
          <w:color w:val="FF0000"/>
          <w:spacing w:val="-6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pacing w:val="-6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pacing w:val="-6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firstLine="199"/>
        <w:jc w:val="left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بيّن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النّهي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يخصّ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غمس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الطّعام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العادة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أنحاء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مختلفة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بتناول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الطّعام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صحن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مشترك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73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lang w:bidi="fa-IR"/>
        </w:rPr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lang w:bidi="fa-IR"/>
      </w:rPr>
    </w:pPr>
    <w:r>
      <w:rPr>
        <w:rFonts w:cs="Arial" w:ascii="Arial" w:hAnsi="Arial"/>
        <w:color w:val="000000"/>
        <w:sz w:val="24"/>
        <w:lang w:bidi="fa-I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