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حلق الرأس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تحلقوا رؤسكم قد زيّنها الله بالش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عر وفي ذلك لآيات لمن ينظر إلى مقتضيات الط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بيعة من لدن مالك البريّة إنّه لهو العزيز الحكيم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44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نهى الكتاب الأقدس عن حلق 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أس، وأمرت به سورة الحجّ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الكلّ مأمور باتّباع الكتاب الأقدس، كلّ ما أنزل فيه هو حكم الله بين العباد، وقد أعفي القاصدون إلى البيت من حلق الرّأس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fa-IR"/>
        </w:rPr>
        <w:t>البشارة السابعة – فُوِّضَ زِمَامُ الأَلْبِسَةِ وَتَرْتِيْبُ اللِّحَى وَإِصْلَاحُهَا إِلَى اخْتِيَارِ العِبَادِ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fa-IR"/>
        </w:rPr>
        <w:t>وَلَكِنْ إِيَّاكُمْ يَا قَوْمِ أَنْ تَجْعَلُوا أَنْفُسَكُمْ مَلْعَبَ الجَاهِلِينَ</w:t>
      </w:r>
      <w:r>
        <w:rPr>
          <w:rFonts w:cs="Traditional Arabic" w:ascii="Traditional Arabic" w:hAnsi="Traditional Arabic"/>
          <w:b/>
          <w:bCs/>
          <w:color w:val="000000"/>
          <w:sz w:val="28"/>
          <w:szCs w:val="28"/>
          <w:rtl w:val="true"/>
          <w:lang w:bidi="fa-IR"/>
        </w:rPr>
        <w:t>."</w:t>
      </w: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لوح البشارات – معرّب عن الفارسية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تحبّذ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التّقاليد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حلق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الرّأس،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ومنع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ونسخ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السّابق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الحاجّ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للبيت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بشيراز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بحلق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الرّأس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