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تبلیغ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ترویج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صعود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جمال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اقدس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ابهی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يا أهل الأرض إذا غربت شمس جمالي وسترت سماء هيكلي لا تضطربوا قوموا على نصرة أمري وارتفاع كلمتي بين العالمين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إنّا معكم في كلّ الأحوال وننصركم بالحقّ إنّا كن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 قادرين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من عرفني يقوم على خدمتي بقيام لا تقعده جنود السّموات والأرضين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38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المطاعة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ينصروا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ببيانهم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ويعظوا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خلاقهم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بلّغوا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وجعله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تستقرّوا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وسمعتم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انطقوا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تصمتوا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ونصره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يؤيّدک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شفتاک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٤٧٢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مخلصين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فکانّما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* 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حيوتيکه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ميّتين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گمگشتگان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تشنگان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بچشانند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شماتت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البغضاء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(*)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وکيلا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تزعزع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اندکّت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انصعقت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نوشيده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منصعق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نافذ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متصرّف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محيط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الذوهّاب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بمواعظ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ليّنه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شرايط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الابداع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مبلّغ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برنيارد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متسلسل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تتابع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ترادف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تسلسل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اشارتی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آغوش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بياسايد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باستعداد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بگشا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بخودتان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نفثات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حواريّين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نفثات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حوارييّن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خواندن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مجالست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تايپی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٤٩٦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بتدريج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تفهيم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کالحجارة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* 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مضاعف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تايپی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٤٩٦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( * 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مضمون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بقره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موکول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نبندد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علوّيّت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٤٩٤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مستحيل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(.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معوّق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معطّل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بشرائط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مدوّنه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فريضه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ميثاق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رؤوس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الاشهاد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مستعدّ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شرائط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طافح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تشنگان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برسانيم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ثوابمان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استدعای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حبيبان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نثاران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استدعا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توليد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باتّساع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بسايرين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٢٢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تبلیغ و ترویج امرالله بعد از صعود جمال اقدس ابهی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