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الاختلاف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 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مرفوعا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قدّسوا 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بينکم ليشهدکم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مطهّرا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يحبّه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 ممنوعا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 أحاطته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الأشطار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 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المجلد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تختلفوا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اتّبعوا 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أعمال 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يدّعون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 حدودي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الغفور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المجلد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قُلْ أَنِ اتَّحِدُوا في كَلِمَتِكُم وَاتَّفِقُوا في رأْيِكُم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...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