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اشتغال در ايّام محرّمه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اياّم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بشغلی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 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هفتادم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هشتم شعبان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پنجم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 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احياناً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طوعاً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بدلخواه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 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ونقطه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 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نُه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وزراعت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مقتضای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مناصب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٣٥٦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 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مقدّمه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تسعه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بعثت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(*)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هفتادم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بيست وهشتم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سه 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مقدمه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تسعه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(*)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مبعث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است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چوپان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سخت گرفته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 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تعطيل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متيرّکه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موظّفين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بمدارس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تحصيل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مطيع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خبّاز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قصّابها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اينقبيل مشاغل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نقاطی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مشاغل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مزبوره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 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استثنائی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متبرّکه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 يانه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؟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بهيچوجه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استثنائی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تهاون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 علت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جرأت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دشمنان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چهارم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حتميّه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٣٥٧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آغاز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خاتمه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لجنات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مصيبات تعطيل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٣٥٨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both"/>
      <w:rPr>
        <w:rFonts w:ascii="Traditional Arabic" w:hAnsi="Traditional Arabic" w:cs="Traditional Arabic"/>
        <w:sz w:val="24"/>
        <w:szCs w:val="24"/>
        <w:lang w:bidi="fa-IR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fa-IR"/>
      </w:rPr>
      <w:t xml:space="preserve">نهی از اشتغال در ايّام محرّمه  </w:t>
    </w:r>
  </w:p>
  <w:p>
    <w:pPr>
      <w:pStyle w:val="Header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