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العمل في الأيام المحرمة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بيت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وإضافة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إحياء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استشهاد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واعتبر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ونهج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فأضاف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المناسبات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ليصبح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مجموع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العطلات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بإحياء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مناسبتين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أخريين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والميثاق،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مركز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والميثاق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...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139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