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تعمّق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آیات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تعالیم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اغتمسوا في بحر بياني لعلّ تطّلعون بما فيه من لئالئ الحكمة والأسرار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أن توقّفوا في هذا الأمر الّذي به ظهرت سلطنة الله واقتداره أسرعوا إليه بوجوه بيضآ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هذا دين الله من قبل ومن بعد من أراد فليقبل ومن لم يرد فإنّ الله لغنيّ عن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 تفكّر في هذه الآيات واطّلع بما ستر فيهنّ من الل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المخزونة تالله إنّه يجد عرف الرّحمن من شطر السّجن ويسرع بقلبه إليه باشتياق لا تمنعه جنود السّموات والأرضين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يا ملأ الإنشاء دعوا ما عندكم باسمي المهيمن على الأسماء وتغمّسوا في هذا البحر الّذي فيه ستر لئالئ الحكمة والتّبيان وتموّج باسمي الرحمن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الايام التسعة،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غور و تعمّق در آیات و تعالیم الهی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