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تقيّه و کتمان عقيده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مکلّف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 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تصنّع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جرأت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الضّمير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تأکيد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توصيه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رشاد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 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 ومفتخر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مداهنه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مسامحه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مُخِلّ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متنوّعه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آينده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...".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 پرده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هراسان نباشند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اصلی 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 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 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حفاظت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حمايت مظلومان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يزدان 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بُرْقَع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خفا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برانداخته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معتقدات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کاملاً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مکشوف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ساخته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باثبات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 پرداخته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اقطار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اکناف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معروف ومشهور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،تقيّه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جُبن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 اَسْتَحْلِفُکُمْ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اَحِبَّاءَاللّهِ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بِبَذْلِ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الْجَهْدِ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الْجَهْدِ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 الْقِيَامِ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الْاَمْرِ الْاَوْعَرِ الْخَطِيْرِ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التَّمَسُّکِ بِهَذَا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الْحَبْلِ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الْمَتِيْنِ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وَالسُّلُوْکِ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الْمَنْهَجِ الْقَوِيْمِ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جَعَلَکُمُ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رَايَاتِ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نَصْرِهِ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مَصَابِيْحَ هِدَايَتِهِ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مَشَاعِلَ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حُبِّهِ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مَطَالِعَ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اقْتِدَارِهِ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بِلَادِهِ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منسوخه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معرّفی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منحرف نگردند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،مسيحی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،کليمی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زردشتی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 معرّفی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مسامحه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مساهله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تبرّی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مُحْدِثِ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انقلابی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ساميه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تأکيد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واجبات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بمعتقدات 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سمحاء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 ترجيح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مداهنه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 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بمراکز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دفاتر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 مستخدمين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 اسلام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زردشتی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گذاشتن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دليل 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انحراف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وانحراف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قطعيّاً 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مداهنه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منفصل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استخدام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بخسارت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مبتلا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بکنز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بيکران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قيّمه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 ناظرند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مروّج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متشبّث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استنکاف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 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(*)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(*)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 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مأخد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افتاده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فقط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هر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نوشته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آرشيو بيت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صحيح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تحذير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تأکيد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اُمنای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انفصال اداری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باُمنای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 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تقيّه و کتمان عقيده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