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حرمت استعمال ظروف طلا و نقره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6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 - 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يستعمل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أواني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والفضّة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بأس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عليه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lang w:bidi="ar-JO"/>
        </w:rPr>
        <w:t>46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اعلی در کتاب مبارک بيان استفاده از ظروف طلا و نقره را مجاز فرموده‌اند بنا براين استفاده از چنين ظروفی که در اسلام مکروه بوده مجاز گشته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البتّه مکروه بودن آن در قرآن مجيد نازل نشده بلکه بر پايه احاديث اسلامی استوار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اين آيه حکم حضرت اعلی را تأييد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tl w:val="true"/>
        <w:lang w:bidi="ar-JO"/>
      </w:rPr>
      <w:t>حرمت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استعمال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ظروف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طلا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و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نقره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