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خيانت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مالی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مشاغل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يَّاکُمْ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قَوْم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تخانُوْا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يءٍ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وَکُوْنُوْا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أُ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مَنَاءَ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بَيْنَ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بَرِيَّتَهِ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كُ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وْنُوْا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الْمُحْسِنِيْنَ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جهانتاب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افقش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نيکو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ابرهای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خيانت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دنائت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روشنائی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جهانيان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دوائر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مستخدم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استغناء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پاکی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آزادگی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قناعت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بخدمات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مخصوصند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اداره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منصوب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چاکران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بندگان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بخصائل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حميده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پسنديده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متّصف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مقرّری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قناعت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بصداقت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حرص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کنار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فخرِ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مؤوْنه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زهيده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قناعت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فقرای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رعيّت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منهج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گنج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٢٨٤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دايره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مستخدمند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مأموريّت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کبرياء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پردازند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رشوت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ارتکاب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مقرّری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قناعت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مدار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افتخار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کفايت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دانند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رغيفی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قناعت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باندازه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بعدالت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پردازد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سَروَر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ممدوح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آدميان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بزرگوار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کيسه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آزادگان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عتيق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افتخار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بفضائل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خصائل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حميده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منقبتش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کبرياء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طالبان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عنقريب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مأيوس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مخذول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تنزيه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صداقت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آشکار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گنج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خوشتر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٦٤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مأمورين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جيره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جزئی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قناعت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بحکومت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عادله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بخدا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٢٨٦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طينت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باوساخ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ارتکاب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وخيانت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بيالايد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حشرات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ترجيح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٦٧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معاذ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ذرّه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موکوله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تهاون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ديناری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رعيّت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تعدّی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منفعت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خصوصی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فوائد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شخصی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طلبد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فيوضات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پروردگار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تحرير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٢٨٧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7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قناعت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ارتکاب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فلسی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رانيالايند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مطهّر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آلوده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٦٧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8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فضّه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رسند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گذرند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خيانت مالی در مشاغل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