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مشورت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امور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كتب الله على كل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مدينة أن يجعلوا فيها بيت العدل ويجتمع فيه النّفوس على عدد البه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وإن ازداد لا بأس ويرون كأنّهم يدخلون محضر الله العليّ الأعلى ويرون من لا يرى وينبغي لهم أن يكونوا أمن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الرّحمن بين الإمكان ووكل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الله لمن على الأرض كلّها ويشاوروا في مصالح العباد لوجه الله كما يشاورون في أمورهم ويختاروا ما هو المختار كذلك حكم ربّكم العزيز الغفّار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30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در باره مشورت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اگر در نفوس مجتمعه اولی اختلاف حاصل نفوس جديده ضمّ نمائيد و بعد بحکم قرعه به عدد اسم اعظم يا اقل يا اکثر از آن انتخاب نمائيد و مجدّد مشورت ما ظهر منه هو المطاع و اگر هم اختلاف شد زيّن  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ثنين بالثّلاث و 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ذ 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قوی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 يهد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من يشآء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لی سوآء الصّراط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المشاورة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جعلناها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مرقاة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لآخذي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زمامها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حافظي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مقامها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صعود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شاوروا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متوکّلين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المهيمن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القيّوم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٤٠٩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آگاهی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عطا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١٠٢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آگاهی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بيفزايد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تبديل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نورانی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هويدا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المهيمن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القيّوم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درباره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معاملات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مستقيمه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اقتراف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امثال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متوک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للغافلين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٤١١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الابهی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اطّلاع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تبصّر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تعمّق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مجهول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رچمنستان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قديمه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سدره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باثمار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اعضاء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صداقت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عاديه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٤١٢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متعدّده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کثيره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درگاه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کبريا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گرفته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مثلاشخصی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کشف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آشکار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مافوق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صنف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اصناف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صنعت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تجّار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تجاريّه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٤١٢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طلبيد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صريحه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التّحيّة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والثّناء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زراعت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صناعت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مرّات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معاونت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جاذب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قضيّه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وسائط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محفلی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بيارايند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تدبيری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عموميّه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مشکلی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عسرتی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مجتمع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تدبيری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شبهه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دستگيری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قطعيّه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البريّه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مهمّی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مباشرت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ننمائيد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درفکر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تمشيت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دهيد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غصّه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خوريد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محتاج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مگذاريد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معاونت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تاکّل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متّحدا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متّفقا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کنيد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درباره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تعليم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تربيت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هميشه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ميخواهم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مهمّی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صلاح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لابدّم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٤١٣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اساسی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آئين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قرار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مؤمنين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متمسّک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اوست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سراج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هدايت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آگاهی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عطا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يکی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محکمه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اداری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بهائی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محسوب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ابهی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*(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)*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طريقه‌ای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مشاوره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اتّخاذ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تصميم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اهميت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حصول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اتّفاق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تأکيد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اتّفاق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نشود،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رأی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اکثريّت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قاطع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تصريح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نحوه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فوق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مذکور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تأسيس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محافل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بوده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پاسخ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نازل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گرديده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العدل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تأييد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ايجاد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محافل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روحانی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همواره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مساعد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احبّاء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هيچ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مانع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ياران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طريق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مذکور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*(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)*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پيروی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احبّاء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مايل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توانند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روش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مسائل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استفاده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کنند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"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 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52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مشورت در امور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