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صَادِقًا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مقدارکم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جئتکم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وسموّه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وعزّته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وبهائه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تدعوه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اضاءت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عْمَالَكُم مُنَزَّهَةً عَنِ الرَّيْبِ وَالرِّيَاءِ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كُونُوا فِي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رْفِ عَفِيفًا وَفِي اليَدِ أَمِيْنًا وَفِي اللِّسَانِ صَادِقًا وَفِي القَلْبِ مُتَذَك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حکمت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منفقا وفي فقدها شاكرا وفي الحقوق أمينا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ولوجه الصّدق جمالا ولهيكل الأمانة طرازا ولبيت الأخلاق عرشا ولجسد العالم روحا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