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معاشرت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اشرار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منافقين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ناقضين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نَصِيْرُ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تَجَنَّبْ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مِثْلِ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هَؤُلَاءِ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فِرَّ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ظِلِّ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عِصْمَةِ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رَبِّکَ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وَکُنْ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حِفْظٍ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عَظِيْمٍ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اعْلَمْ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نَفْسَ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الَّذِي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يَخْرُجُ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هَؤْلَاءِ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يُؤَثِّرُ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يُؤَثِّرُ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نَفْسُ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الثُّعْبَانِ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نْتَ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الْعَارِفِيْنَ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کَذَلِکَ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لْهِمْنَاکَ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وَعَل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مْنَاکَ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الْمَسْتُوْرُ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لِتَطَّلِعَ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بِمُرَادِ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وَتَکُوْنَ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بَصِيْرَةٍ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مُنِيْرٍ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طَهِّرْ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يَدَکَ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التَّشَبُّثِ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غَيْرِ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شَارَةِ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دُوْنِهِ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کَذَلِکَ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يَأْمُرُکَ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قَلَمُ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الْقِدَمِ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نْتَ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السَّامِعِيْنَ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نصير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قُلْ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حِبَّائِي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صْفِيَائِي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اسْمَعُوْا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نِدَاءَ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الْحَبِيْبِ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الْمَسْجُوْنِ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السِّجْنِ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أَكْ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وَجَدْتُمْ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حَدٍ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قَلَّ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يُحْصَی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رَوَائِحَ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عْرَاضِ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فَاعْرِضُوْا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ثُمَّ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اجْتَنِبُوْهُ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نَّهُمْ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مَظَاهِرُ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الشَّيْطَانِ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٤٥١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رائحه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ادراک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اِلَی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قَالَ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اسْمُهُ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تزوير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طُرُق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مَرَضات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نفَسشان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(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رخطاب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شياطين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بلباسهای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بطريق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برآيند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واگذارند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اِعراض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زُهد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بعبادت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ثقلين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...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٤٥٠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اشجار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حوادث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کَوْنيّه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بملائکه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اشجار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خبيثه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ارياح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بمشرکين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اشجار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نصائح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احمد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فارسی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احزاب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اذن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رائحه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بيابند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امثال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مْرَاً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لَدَی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رَبِّ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الْعَرْشِ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الْعَظِيْمِ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غافله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متنبّه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فنعم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شنيعه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مجالست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حُسبان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تبديل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فارسی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تضيع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دشمن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بگريزيد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ابتعاد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ناقضين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وصايا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٤٧٧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رساله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تسعه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نالايقی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رائحه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فوراً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تجنّب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ميرانند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احتياط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مجالست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ناقضان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نفَسشان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ثُعْبان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فوراً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 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٤٤٩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عَاِشُرْوا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مَعَ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الْاَدْيَانِ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بِالرُّوْحِ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وَالرَّيْحَانِ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طايفه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تنجيس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مضرّت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انجذاب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طبيعيّون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عاطل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باطل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پروتستانها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بعنوان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نامشروع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آوردند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بواسطه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وسايل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منحرف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عکّا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فرستاد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آشتی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متقضای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الحمدللّه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عصبيّتِ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جاهليّت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معاندتِ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معارضات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مذهبيّه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رَوح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منافقان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خمودت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جمودت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نفَسشان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زمهرير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تندرستی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ارتعاش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زکام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کريهه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مشمئزّ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کافّه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وَعَلَيْکَ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التَّحِيَّةُ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الثَّنَاءُ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چگونگی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متعدّی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اجتماعيّه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مضرّات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بمراکز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لزوم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انکار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مجالست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اَقرانِ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نفْس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محافظت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عاشروا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٤٤٩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مطرودين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الوجوه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٢٨٤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معاشرت با اشرار و منافقين و ناقضين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