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معاشرة الاشرار والمنافقين والناقضين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نَصِيْرُ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تَجَنَّبْ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مِثْلِ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هَؤُلَاءِ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فِرَّ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ظِلِّ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عِصْمَةِ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رَبِّکَ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وَکُنْ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حِفْظٍ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عَظِيْمٍ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اعْلَمْ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يَخْرُجُ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هَؤْلَاءِ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يُؤَثِّرُ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يُؤَثِّرُ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الثُّعْبَانِ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الْعَارِفِيْنَ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لْهِمْنَاکَ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مْنَاکَ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الْمَسْتُوْرُ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لِتَطَّلِعَ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بِمُرَادِ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وَتَکُوْنَ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بَصِيْرَةٍ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مُنِيْرٍ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طَهِّرْ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يَدَکَ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التَّشَبُّثِ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غَيْرِ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شَارَةِ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دُوْنِهِ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يَأْمُرُکَ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قَلَمُ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الْقِدَمِ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السَّامِعِيْنَ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نصير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قُلْ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حِبَّائِي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صْفِيَائِي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اسْمَعُوْا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نِدَاءَ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الْحَبِيْبِ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الْمَسْجُوْنِ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السِّجْنِ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أَكْ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وَجَدْتُمْ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حَدٍ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يُحْصَی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رَوَائِحَ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عْرَاضِ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فَاعْرِضُوْا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اجْتَنِبُوْهُ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مَظَاهِرُ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الشَّيْطَانِ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ص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٤٥١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