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center"/>
        <w:rPr>
          <w:rFonts w:ascii="Calibri" w:hAnsi="Calibri" w:cs="Traditional Arabic"/>
          <w:b/>
          <w:b/>
          <w:bCs/>
          <w:color w:val="FF0000"/>
          <w:sz w:val="72"/>
          <w:szCs w:val="72"/>
          <w:u w:val="single"/>
        </w:rPr>
      </w:pPr>
      <w:r>
        <w:rPr>
          <w:rFonts w:cs="Traditional Arabic" w:ascii="Calibri" w:hAnsi="Calibri"/>
          <w:b/>
          <w:bCs/>
          <w:color w:val="FF0000"/>
          <w:sz w:val="72"/>
          <w:szCs w:val="72"/>
          <w:u w:val="single"/>
        </w:rPr>
        <w:t>Limitation of Travel</w:t>
      </w:r>
    </w:p>
    <w:p>
      <w:pPr>
        <w:pStyle w:val="PlainText"/>
        <w:jc w:val="both"/>
        <w:rPr>
          <w:rFonts w:ascii="Calibri" w:hAnsi="Calibri" w:cs="Traditional Arabic"/>
          <w:b/>
          <w:b/>
          <w:bCs/>
          <w:color w:val="FF0000"/>
          <w:sz w:val="28"/>
          <w:szCs w:val="28"/>
          <w:u w:val="single"/>
        </w:rPr>
      </w:pPr>
      <w:r>
        <w:rPr>
          <w:rFonts w:cs="Traditional Arabic" w:ascii="Calibri" w:hAnsi="Calibri"/>
          <w:b/>
          <w:bCs/>
          <w:color w:val="FF0000"/>
          <w:sz w:val="28"/>
          <w:szCs w:val="28"/>
          <w:u w:val="single"/>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ind w:firstLine="720"/>
        <w:jc w:val="both"/>
        <w:rPr>
          <w:rFonts w:ascii="Calibri" w:hAnsi="Calibri" w:cs="Traditional Arabic"/>
          <w:sz w:val="36"/>
          <w:szCs w:val="36"/>
        </w:rPr>
      </w:pPr>
      <w:r>
        <w:rPr>
          <w:rFonts w:cs="Calibri" w:ascii="Calibri" w:hAnsi="Calibri"/>
          <w:sz w:val="36"/>
          <w:szCs w:val="36"/>
        </w:rPr>
        <w:t>God hath removed the restrictions on travel that had been imposed in the Bayán. He, verily, is the Unconstrained; He doeth as He pleaseth and ordaineth whatsoever He willeth.</w:t>
      </w:r>
    </w:p>
    <w:p>
      <w:pPr>
        <w:pStyle w:val="Normal"/>
        <w:rPr/>
      </w:pPr>
      <w:r>
        <w:rPr>
          <w:rFonts w:cs="Traditional Arabic" w:ascii="Traditional Arabic" w:hAnsi="Traditional Arabic"/>
          <w:color w:val="0000CC"/>
          <w:sz w:val="28"/>
          <w:szCs w:val="28"/>
        </w:rPr>
        <w:t>(</w:t>
      </w:r>
      <w:r>
        <w:rPr>
          <w:color w:val="0000CC"/>
        </w:rPr>
        <w:t>The Kitáb-i-Aqdas, The Most Holy Book, Bahá’u’lláh, para. 131)</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center"/>
        <w:rPr>
          <w:rFonts w:ascii="Calibri" w:hAnsi="Calibri" w:cs="Traditional Arabic"/>
          <w:color w:val="FF0000"/>
          <w:sz w:val="28"/>
          <w:szCs w:val="28"/>
        </w:rPr>
      </w:pPr>
      <w:r>
        <w:rPr>
          <w:rFonts w:eastAsia="Wingdings 2" w:cs="Wingdings 2" w:ascii="Wingdings 2" w:hAnsi="Wingdings 2"/>
          <w:color w:val="FF0000"/>
          <w:sz w:val="28"/>
          <w:szCs w:val="28"/>
        </w:rPr>
        <w:t></w:t>
      </w:r>
    </w:p>
    <w:p>
      <w:pPr>
        <w:pStyle w:val="Normal"/>
        <w:jc w:val="left"/>
        <w:rPr>
          <w:rFonts w:ascii="Calibri" w:hAnsi="Calibri" w:cs="Traditional Arabic"/>
          <w:b/>
          <w:b/>
          <w:bCs/>
          <w:color w:val="FF0000"/>
          <w:sz w:val="28"/>
          <w:szCs w:val="28"/>
          <w:lang w:bidi="fa-IR"/>
        </w:rPr>
      </w:pPr>
      <w:r>
        <w:rPr>
          <w:rFonts w:cs="Traditional Arabic"/>
          <w:b/>
          <w:bCs/>
          <w:color w:val="FF0000"/>
          <w:sz w:val="28"/>
          <w:szCs w:val="28"/>
          <w:lang w:bidi="fa-IR"/>
        </w:rPr>
      </w:r>
    </w:p>
    <w:p>
      <w:pPr>
        <w:pStyle w:val="Normal"/>
        <w:jc w:val="left"/>
        <w:rPr>
          <w:rFonts w:cs="Traditional Arabic"/>
          <w:b/>
          <w:b/>
          <w:bCs/>
          <w:sz w:val="28"/>
          <w:szCs w:val="28"/>
          <w:lang w:bidi="fa-IR"/>
        </w:rPr>
      </w:pPr>
      <w:r>
        <w:rPr>
          <w:rFonts w:cs="Traditional Arabic"/>
          <w:b/>
          <w:bCs/>
          <w:sz w:val="28"/>
          <w:szCs w:val="28"/>
          <w:lang w:bidi="fa-IR"/>
        </w:rPr>
      </w:r>
    </w:p>
    <w:p>
      <w:pPr>
        <w:pStyle w:val="Normal"/>
        <w:ind w:firstLine="720"/>
        <w:rPr>
          <w:sz w:val="36"/>
          <w:szCs w:val="36"/>
        </w:rPr>
      </w:pPr>
      <w:r>
        <w:rPr>
          <w:sz w:val="36"/>
          <w:szCs w:val="36"/>
        </w:rPr>
        <w:t>The Báb decreed certain restrictions on travel which were to remain in force until the advent of the Promised One of the Bayán, at which time the believers were instructed to set out, even if on foot, to meet Him, since the attainment of His presence was the fruit and purpose of their very existence.</w:t>
      </w:r>
    </w:p>
    <w:p>
      <w:pPr>
        <w:pStyle w:val="Normal"/>
        <w:rPr/>
      </w:pPr>
      <w:r>
        <w:rPr>
          <w:rFonts w:cs="Traditional Arabic" w:ascii="Traditional Arabic" w:hAnsi="Traditional Arabic"/>
          <w:color w:val="0000CC"/>
          <w:sz w:val="28"/>
          <w:szCs w:val="28"/>
        </w:rPr>
        <w:t>(</w:t>
      </w:r>
      <w:r>
        <w:rPr>
          <w:color w:val="0000CC"/>
        </w:rPr>
        <w:t>The Kitáb-i-Aqdas, The Most Holy Book, Notes NO. 153)</w:t>
      </w:r>
    </w:p>
    <w:p>
      <w:pPr>
        <w:pStyle w:val="Normal"/>
        <w:rPr>
          <w:color w:val="0000CC"/>
        </w:rPr>
      </w:pPr>
      <w:r>
        <w:rPr>
          <w:color w:val="0000CC"/>
        </w:rPr>
      </w:r>
    </w:p>
    <w:p>
      <w:pPr>
        <w:pStyle w:val="Normal"/>
        <w:jc w:val="center"/>
        <w:rPr>
          <w:rFonts w:cs="Traditional Arabic"/>
          <w:b/>
          <w:b/>
          <w:bCs/>
          <w:color w:val="0000CC"/>
          <w:sz w:val="28"/>
          <w:szCs w:val="28"/>
          <w:lang w:bidi="fa-IR"/>
        </w:rPr>
      </w:pPr>
      <w:r>
        <w:rPr>
          <w:rFonts w:cs="Traditional Arabic"/>
          <w:b/>
          <w:bCs/>
          <w:color w:val="FF0000"/>
          <w:sz w:val="28"/>
          <w:szCs w:val="28"/>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p>
      <w:pPr>
        <w:pStyle w:val="Normal"/>
        <w:rPr>
          <w:rFonts w:cs="Traditional Arabic"/>
          <w:b/>
          <w:b/>
          <w:bCs/>
          <w:color w:val="0000CC"/>
          <w:sz w:val="28"/>
          <w:szCs w:val="28"/>
          <w:lang w:bidi="fa-IR"/>
        </w:rPr>
      </w:pPr>
      <w:r>
        <w:rPr>
          <w:rFonts w:cs="Traditional Arabic"/>
          <w:b/>
          <w:bCs/>
          <w:color w:val="0000CC"/>
          <w:sz w:val="28"/>
          <w:szCs w:val="28"/>
          <w:lang w:bidi="fa-IR"/>
        </w:rPr>
      </w:r>
    </w:p>
    <w:p>
      <w:pPr>
        <w:pStyle w:val="Normal"/>
        <w:rPr>
          <w:rFonts w:cs="Traditional Arabic"/>
          <w:b/>
          <w:b/>
          <w:bCs/>
          <w:color w:val="0000CC"/>
          <w:sz w:val="36"/>
          <w:szCs w:val="36"/>
          <w:lang w:bidi="fa-IR"/>
        </w:rPr>
      </w:pPr>
      <w:r>
        <w:rPr>
          <w:rFonts w:cs="Traditional Arabic"/>
          <w:b/>
          <w:bCs/>
          <w:color w:val="0000CC"/>
          <w:sz w:val="36"/>
          <w:szCs w:val="36"/>
          <w:lang w:bidi="fa-IR"/>
        </w:rPr>
      </w:r>
    </w:p>
    <w:p>
      <w:pPr>
        <w:pStyle w:val="Normal"/>
        <w:rPr>
          <w:rFonts w:cs="Traditional Arabic"/>
          <w:b/>
          <w:b/>
          <w:bCs/>
          <w:sz w:val="36"/>
          <w:szCs w:val="36"/>
          <w:lang w:bidi="fa-IR"/>
        </w:rPr>
      </w:pPr>
      <w:r>
        <w:rPr>
          <w:rFonts w:cs="Traditional Arabic"/>
          <w:b/>
          <w:bCs/>
          <w:sz w:val="36"/>
          <w:szCs w:val="36"/>
          <w:lang w:bidi="fa-IR"/>
        </w:rPr>
      </w:r>
    </w:p>
    <w:p>
      <w:pPr>
        <w:pStyle w:val="Normal"/>
        <w:tabs>
          <w:tab w:val="left" w:pos="3490" w:leader="none"/>
        </w:tabs>
        <w:rPr>
          <w:rFonts w:cs="Traditional Arabic"/>
          <w:sz w:val="36"/>
          <w:szCs w:val="36"/>
          <w:lang w:bidi="fa-IR"/>
        </w:rPr>
      </w:pPr>
      <w:r>
        <w:rPr>
          <w:rFonts w:cs="Traditional Arabic"/>
          <w:sz w:val="36"/>
          <w:szCs w:val="36"/>
          <w:lang w:bidi="fa-IR"/>
        </w:rPr>
        <w:tab/>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8"/>
      </w:rPr>
    </w:pPr>
    <w:r>
      <w:rPr>
        <w:rFonts w:cs="Courier New" w:ascii="Courier New" w:hAnsi="Courier New"/>
        <w:color w:val="0000FF"/>
        <w:sz w:val="24"/>
        <w:szCs w:val="1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rFonts w:ascii="Arial" w:hAnsi="Arial" w:cs="Arial"/>
        <w:color w:val="000000"/>
        <w:sz w:val="24"/>
        <w:lang w:bidi="ar-JO"/>
      </w:rPr>
    </w:pPr>
    <w:r>
      <w:rPr>
        <w:rFonts w:cs="Arial" w:ascii="Arial" w:hAnsi="Arial"/>
        <w:color w:val="000000"/>
        <w:sz w:val="24"/>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