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eastAsia="Traditional Arabic"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 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انقطاع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دعوا ما عندكم ثمّ طيروا بقوادم الانقطاع فوق الإبداع كذلك يأمركم مالك الاختراع الّذ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ي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بحركة قلمه قلّب العالمين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54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2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تالله لا نريد أن نتصرّف في ممالككم بل جئنا لتصرّف القلوب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إنّها لمنظر البهآء يشهد بذلك ملكوت الأسمآء لو أنتم تفقهون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والّذي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اتّبع مولاه إنّه أعرض عن الدّنيا كلّها وكيف هذا المقام المحمود </w:t>
      </w:r>
      <w:r>
        <w:rPr>
          <w:rFonts w:ascii="Wingdings 2" w:hAnsi="Wingdings 2" w:eastAsia="Wingdings 2" w:cs="Wingdings 2"/>
          <w:spacing w:val="-4"/>
          <w:sz w:val="28"/>
          <w:sz w:val="28"/>
          <w:szCs w:val="28"/>
        </w:rPr>
        <w:t>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دعوا البيوت ثمّ أقبلوا إلى الملكوت هذا ما ينفعكم في الآخرة والأولى يشهد بذلك مالك الجبروت لو أنتم تعلمون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83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pacing w:val="-6"/>
          <w:sz w:val="28"/>
          <w:szCs w:val="28"/>
        </w:rPr>
        <w:t>3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pacing w:val="-6"/>
          <w:sz w:val="28"/>
          <w:sz w:val="28"/>
          <w:szCs w:val="28"/>
          <w:rtl w:val="true"/>
        </w:rPr>
        <w:t xml:space="preserve">طوبى لملك قام على نصرة أمري في مملكتي وانقطع عن سوآئي 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6"/>
          <w:sz w:val="28"/>
          <w:sz w:val="28"/>
          <w:szCs w:val="28"/>
          <w:rtl w:val="true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</w:rPr>
        <w:t>84</w:t>
      </w:r>
      <w:r>
        <w:rPr>
          <w:rFonts w:cs="Traditional Arabic" w:ascii="Traditional Arabic" w:hAnsi="Traditional Arabic"/>
          <w:color w:val="FF0000"/>
          <w:spacing w:val="-6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6"/>
          <w:sz w:val="28"/>
          <w:szCs w:val="28"/>
        </w:rPr>
      </w:pPr>
      <w:r>
        <w:rPr>
          <w:rFonts w:cs="Traditional Arabic" w:ascii="Traditional Arabic" w:hAnsi="Traditional Arabic"/>
          <w:spacing w:val="-6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SA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يصلوا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شاطئ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قدّسوا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وتدخلنّ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سرادق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جعله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مرفوعا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كتاب 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المنّان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الدم،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393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لطالبه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اخرج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اقنع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الله،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401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تنخمد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الحرص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يخبرکم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العارفين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العرفان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...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تنوّر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الحمراء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تموّجت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يشتغلوا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الممکنات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وکانوا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غريقا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٦٧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فضائل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اخلاق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يمنعه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وزينتها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السّموات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لعباده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الموحّدين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سورة البيان، آثار قلم اعلى، جلد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159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بديع، 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شطر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والنّظر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والشّهادة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اصل كل الخير،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اقدس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ابهی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وآنس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بروحي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قبل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مليحم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نصيب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يزالم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بيزوال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طيّب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لطيف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بساحت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كلمات مكنونه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تأمّل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اختيار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شنيده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بگنجد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اغيار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بمنزل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مخواه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نگنجد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سموات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شیء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محجوب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٣٤٩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مقصود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اسراف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اتلاف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توسّل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رتبه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مبدأ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نعم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مؤثّر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طراز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امراض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النّاصرين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العالمين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بجناب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ملّا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بجستانی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بعزّت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مسرورند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علوّ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مغرور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غفلت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سلمان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مجموعه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بهاءاللّه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مدائن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نگشايد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يعنی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زخارف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..."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ظهور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الهی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بآفتاب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تقديس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الحقيقه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ايمان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توجّه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باخذ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قطره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بياشامد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برشحه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آسمانها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٢٢٤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ارتفاع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ارتقاء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١١٤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بقوّت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تقليب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مبارک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بجناب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ملّا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بجستانی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٣٩٧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معدوم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زمين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پسنديده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٣٨٠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مقرّ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معترف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بخششهای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البتّه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قاصر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متوقّف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بعضی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تجلّيات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انوار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بمقامی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فائز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مشاهده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سفينه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راکب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تمسّک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عنداللّه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اثبات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تخلّف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اهل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هلاک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سجّييّن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هاويه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زينهار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بدينار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مدهيد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يوسف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احديّه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مبادله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عنقريب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مشهود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اجتهاد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الايجاد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بشتابيد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بديع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نيکوست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امروز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پيوندد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بگذرد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تازه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پاينده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دريای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دانش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ثيابی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برهنه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آلايشی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مجرّد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قميص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بپوش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محويّت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جلوس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مطلب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مجو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خداوند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يگانه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درآئی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مفقود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محمود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هنگام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منتهی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قسم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مقبول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شجره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زندگانی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ميوه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رحمانی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عنصری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بقای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سرمدی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منتخباتی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مکاتيب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حضرت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عبدالبهاء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طهران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غارت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رسيد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لايموت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ميريخت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پاريس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مذکور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حکايتی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: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بخواهش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بغتة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مسافر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علائق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واقعا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تمام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اوضاع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ميرويم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برگردم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همراه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بياورم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رفيق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نتوانستی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شوکت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بگفته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ننمودم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مراجعت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بيقراری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حمار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فارغ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مشتعل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مادّی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شؤون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جسمانی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غريق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فلسی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-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١٨٧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احبّای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اکثر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اوقات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پياده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سفر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مينمودند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ميشدند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ميخوابيدند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ميخواستند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ميکردند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شخص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باصرار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صحرا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خسته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درختی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وسوسه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مکرّر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دزدی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آخر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برخاست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انداخت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نيستم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2160" w:right="0" w:firstLine="72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        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نخواهی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پيرهن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٢٧١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بهاءاللّه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بصنعت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بافی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صنعت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صداقت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ترقّيست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مشغوليّت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تقييد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تعلّقی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حوادث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متألّم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عالم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محزون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اظهار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کرم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ضعف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ادّعای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تربيت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تذکّر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١٢١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اوّل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منجذب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ميدان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گذاشت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موفّق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،ابواب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وجهش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مفتوح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چشمش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نفثات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القدس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مؤيّد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٤٩٤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خدای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تأثيراتش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٢٥٩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تقرّب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جميع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اشياء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آلايش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دنيای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پاک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گرديد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٣٢٠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الاثار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eastAsia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آسايش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خوشی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آرايش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ترويج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انقطاع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بهدايت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پردازد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نشود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جانفشانی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کامرانی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سروسامانی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مجموعی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پريشانی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انجذابات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١٤٢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٩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مائده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آسمانی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ط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اوّل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سلطان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مبتلای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دچار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مشکلی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بحقيقت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هيچ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آرزوئی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پس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زحمت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نفوسيکه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بجهان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يابند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مسرّت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وجدانی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حاصل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شادند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نهايت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ابتلاء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آزاد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٣٢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بدائع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الآثار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fa-IR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  <w:lang w:bidi="fa-IR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ولی امر 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1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عزّت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زينت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ظاهره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فانيه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طالب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مطامع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ارضيّه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مآرب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شيطانيّه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ساحت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منزّه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مقدّس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گردانيم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١٠٥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منتخبات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توقيعات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مبارکه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</w:rPr>
      </w:pPr>
      <w:r>
        <w:rPr>
          <w:rFonts w:cs="Calibri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</w:rPr>
      </w:pPr>
      <w:r>
        <w:rPr>
          <w:rFonts w:cs="Traditional Arabic"/>
          <w:sz w:val="28"/>
          <w:szCs w:val="28"/>
          <w:lang w:bidi="ar-JO"/>
        </w:rPr>
        <w:t>2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مقام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روحانی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بدرجه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برسد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همه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مقدّم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بداريم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نعلّقات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انسانی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موجب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دوری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نگردد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Cs w:val="28"/>
          <w:rtl w:val="true"/>
        </w:rPr>
        <w:t xml:space="preserve">"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٤٢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sz w:val="28"/>
          <w:szCs w:val="28"/>
          <w:lang w:bidi="ar-JO"/>
        </w:rPr>
      </w:pPr>
      <w:r>
        <w:rPr>
          <w:rFonts w:cs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SA"/>
        </w:rPr>
      </w:pPr>
      <w:r>
        <w:rPr>
          <w:rFonts w:cs="Traditional Arabic"/>
          <w:sz w:val="28"/>
          <w:szCs w:val="28"/>
          <w:lang w:bidi="ar-JO"/>
        </w:rPr>
        <w:t>3</w:t>
      </w:r>
      <w:r>
        <w:rPr>
          <w:rFonts w:cs="Traditional Arabic"/>
          <w:sz w:val="28"/>
          <w:szCs w:val="28"/>
          <w:rtl w:val="true"/>
        </w:rPr>
        <w:t xml:space="preserve"> - "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کاملا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منقطع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بوده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تابع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اراده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الهی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باشيم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روز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لحظه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تنها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چيز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عمل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کنيم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خدا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خواسته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cs="Calibri"/>
          <w:sz w:val="28"/>
          <w:sz w:val="28"/>
          <w:szCs w:val="28"/>
          <w:rtl w:val="true"/>
        </w:rPr>
        <w:t xml:space="preserve"> </w:t>
      </w:r>
      <w:r>
        <w:rPr>
          <w:rFonts w:cs="Calibri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lang w:bidi="ar-JO"/>
        </w:rPr>
        <w:t>٧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نمونه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حيات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بهائی</w:t>
      </w:r>
      <w:r>
        <w:rPr>
          <w:rFonts w:cs="Calibri"/>
          <w:color w:val="FF0000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/>
          <w:color w:val="FF0000"/>
          <w:sz w:val="28"/>
          <w:szCs w:val="28"/>
          <w:rtl w:val="true"/>
        </w:rPr>
        <w:t xml:space="preserve">-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ترجمه</w:t>
      </w:r>
      <w:r>
        <w:rPr>
          <w:rFonts w:cs="Calibri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/>
          <w:color w:val="FF0000"/>
          <w:sz w:val="28"/>
          <w:sz w:val="28"/>
          <w:szCs w:val="28"/>
          <w:rtl w:val="true"/>
          <w:lang w:bidi="ar-JO"/>
        </w:rPr>
        <w:t>مصوّب</w:t>
      </w:r>
      <w:r>
        <w:rPr>
          <w:rFonts w:cs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cs="Traditional Arabic"/>
          <w:color w:val="FF0000"/>
          <w:sz w:val="28"/>
          <w:szCs w:val="28"/>
          <w:lang w:bidi="ar-SA"/>
        </w:rPr>
      </w:pPr>
      <w:r>
        <w:rPr>
          <w:rFonts w:cs="Traditional Arabic"/>
          <w:color w:val="FF0000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>
        <w:rFonts w:cs="Calibri"/>
      </w:rPr>
      <w:t xml:space="preserve"> 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انقطاع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