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احتراز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از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فتنه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فساد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left"/>
        <w:rPr/>
      </w:pPr>
      <w:r>
        <w:rPr>
          <w:rFonts w:cs="Naskh MT for Bosch School" w:ascii="Naskh MT for Bosch School" w:hAnsi="Naskh MT for Bosch School"/>
          <w:spacing w:val="-4"/>
          <w:sz w:val="28"/>
          <w:szCs w:val="28"/>
        </w:rPr>
        <w:t>1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إيّاكم أن تفسدوا في الأرض بعد إصلاحها ومن أفسد إنّه ليس منّا ونحن برءآء منه </w:t>
      </w:r>
      <w:r>
        <w:rPr>
          <w:rFonts w:ascii="Traditional Arabic" w:hAnsi="Traditional Arabic" w:cs="Traditional Arabic"/>
          <w:color w:val="000000"/>
          <w:spacing w:val="-4"/>
          <w:sz w:val="28"/>
          <w:sz w:val="28"/>
          <w:szCs w:val="28"/>
          <w:rtl w:val="true"/>
        </w:rPr>
        <w:t>كذلك كان الأمر من سمآء الوحي بالحقّ مشهودا</w:t>
      </w:r>
      <w:r>
        <w:rPr>
          <w:rFonts w:cs="Traditional Arabic" w:ascii="Traditional Arabic" w:hAnsi="Traditional Arabic"/>
          <w:color w:val="000000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 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64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left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إذا أقبلتم إلى الله ودخلتم هذا الأمر لا تفسدوا فيه ولا تقيسوا كتاب الله بأهوآئكم هذا نصح الله من قبل ومن بعد يشهد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بذلك شهدآء الله وأصفيآئه إنّا كلّ له شاهدون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165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–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قُلْ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يَّاكُم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نْ تَزْرَعُوا زُؤَانَ الخُصُومَةِ بَينَ البَرِيَّةِ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fa-IR"/>
        </w:rPr>
        <w:t xml:space="preserve"> وَ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شَوْكَ الش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fa-IR"/>
        </w:rPr>
        <w:t>ُّ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كُوكِ فِي القُلُوبِ الصَّافِيَةِ المُنِيْرَةِ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*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قُلْ يَا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حِبَّاءَ اللّهِ لَا تَعْمَلُوا مَا يَتَكَدَّرُ بِهِ صَافِي سَلْسَبِيلِ المَحَبَّةِ وَيَنْقَطِعُ بِهِ عَرْفُ المَوَدَّةِ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*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لَعَمْرِي قَدْ خُلِقْتُم لِلْوِدَادِ لَا لِلْضَّغِيْنَةِ وَالعِنَادِ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لوح الحكمة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4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جدال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نزاع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فساد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مردود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احبّای 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بلحاظ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محبّت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خلق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ادعيه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حضرت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محبوب، ص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300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5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براستی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ميگويم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فساد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نزاع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يکرهه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العقول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لايق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شأن انسان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نبوده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منتخباتی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آثار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حضرت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بهاءاللّه، ص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129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  <w:lang w:bidi="ar-JO"/>
        </w:rPr>
        <w:t>6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نصائح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بگوش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بشنويد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عموم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اهل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عالم 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ضرّ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زبان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آسوده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باشند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...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مظلوم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حزب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 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فساد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نزاع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فرمود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باعمال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طيّبه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اخلاق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مرضيّه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روحانيّه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دعوت نمود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مجموعه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الواح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جمال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اقدس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ابهی، لوح دنيا، ص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49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7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اقليم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فساد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نگذاريد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عرصه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جدال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نزاع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قدم ننهيد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فضائل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اخلاق، ص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144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8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فساد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نزاع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اهل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نبوده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نخواهد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 اعمال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شنيعه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اجتناب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نمائيد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مجموعه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اقتدارات، ص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181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 )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9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بگو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دوستان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لعمر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جدال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نزاع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فساد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 سفک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دماء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خبيثه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عظيما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کتابه العظيم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 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آثار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قلم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اعلی، جلد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6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، ص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302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10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>–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كافر باش و ماكر مباش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 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ادعيه حضرت محبوب، ص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376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عبدالبهاء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اعظم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فساد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مبغوض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تعدّی مذموم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شؤون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مکاتيب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حضرت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عبدالبهاء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، جلد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6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، ص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194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eastAsia="Traditional Arabic" w:cs="Traditional Arabic"/>
          <w:b/>
          <w:b/>
          <w:bCs/>
          <w:sz w:val="28"/>
          <w:szCs w:val="28"/>
          <w:lang w:bidi="ar-JO"/>
        </w:rPr>
      </w:pPr>
      <w:r>
        <w:rPr>
          <w:rFonts w:eastAsia="Traditional Arabic"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9330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3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Naskh MT for Bosch School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>
        <w:rFonts w:eastAsia="Traditional Arabic" w:cs="Traditional Arabic" w:ascii="Traditional Arabic" w:hAnsi="Traditional Arabic"/>
        <w:sz w:val="24"/>
        <w:szCs w:val="24"/>
      </w:rPr>
      <w:t xml:space="preserve">  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>احتراز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 xml:space="preserve"> 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>از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 xml:space="preserve"> 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>فتنه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 xml:space="preserve"> 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>و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 xml:space="preserve"> 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>فساد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