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مُثِيْرًا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للفتن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إيّاكم أن تفسدوا في الأرض بعد إصلاحها ومن أفسد إنّه ليس منّا ونحن برءآء منه </w:t>
      </w:r>
      <w:r>
        <w:rPr>
          <w:rFonts w:ascii="Traditional Arabic" w:hAnsi="Traditional Arabic" w:cs="Traditional Arabic"/>
          <w:color w:val="000000"/>
          <w:spacing w:val="-4"/>
          <w:sz w:val="28"/>
          <w:sz w:val="28"/>
          <w:szCs w:val="28"/>
          <w:rtl w:val="true"/>
        </w:rPr>
        <w:t>كذلك كان الأمر من سمآء الوحي بالحقّ مشهودا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أقبلتم إلى الله ودخلتم هذا الأمر لا تفسدوا فيه ولا تقيسوا كتاب الله بأهوآئكم هذا نصح الله من قبل ومن بعد 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بذلك شهدآء الله وأصفيآئه إنّا كلّ له شاهدون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قُلْ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يَّاكُم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نْ تَزْرَعُوا زُؤَانَ الخُصُومَةِ بَينَ البَرِيَّةِ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شَوْكَ 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كُوكِ فِي القُلُوبِ الصَّافِيَةِ المُنِيْرَةِ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قُلْ يَا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حِبَّاءَ اللّهِ لَا تَعْمَلُوا مَا يَتَكَدَّرُ بِهِ صَافِي سَلْسَبِيلِ المَحَبَّةِ وَيَنْقَطِعُ بِهِ عَرْفُ المَوَدَّةِ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لَعَمْرِي قَدْ خُلِقْتُم لِلْوِدَادِ لَا لِلْضَّغِيْنَةِ وَالعِنَادِ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