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غرور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النّاس من غرّته العلوم وبها منع عن اسمي القيّوم وإذا سمع صوت النّعال عن خلفه يرى 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أكبر من نمرود قل أين هو يا 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ها المردود تالله إنّه لفي أسفل الجحيم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لأحد أن يفتخر على أحد كلّ أرقّآء له وأدل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أنّه لا إله إلاّ هو إنّه 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على كلّ شيء حكيما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أن يمنعكم الغرور عن مشرق الظّهور أو تحجبكم الدّنيا عن فاطر السّمآء قوموا على خدمة المقصود الّذي خلقكم بكلمة من عنده وجعلكم مظاهر القدرة لما كان وما يكون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4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إيّاك أن يمنعك الغرور عن مطلع الظّهور أو يحجبك الهوى عن مالك العرش والثّرى كذلك ينصحك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القلم الأعلى إنّه لهو الفضّال الكريم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86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ترضوا لأحد ما لا ترضونه لأنفسكم اتّقوا الله ولا تكوننّ من المتكبّرين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لقتم من المآء وترجعون إلى التّراب تفكّروا في عواقبكم ولا تكوننّ من 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يرفعه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الذّلّة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بيندازيد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ارجح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ص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</w:rPr>
        <w:t>٩٥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ج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امر و 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نپسندد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بپسندد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ميآورد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بپسنديم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مجهول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ساعتی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اميپسندد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بيندازيم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بجيمع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بزرگوار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حواريون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ازعيبجوئی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مندرج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ميبرد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شرمسار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هواجس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تميّز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تفرّدی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 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احتراز از کبر و غرور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