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تقدیم هدایای لا عِدل له به شارع امر الهی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المعطي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آيه مبارکه ناسخ حکم کتاب مبارک بيان است داير بر اينکه هر شيئی که در نوع خود بی عديل و مثيل باشد بايد در ايّام ظهور من يظهره اللّه تقديم حضور حضرتش گردد و در توضيح اين حکم حضرت اعلی می فرمايند که چون مظهر الهی را نظير و بديلی نيست لذا هر شیء بی نظيری حقّاً متعلّق به او است مگر اينکه خود غير از اين 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فرمايد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تقديم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هداياى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لا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عدل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له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به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شارع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امر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الهى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