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تقديم أثمن الهدايا إلى صاحب الأمر الإلهي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يحضر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عِدل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عفونا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المعطي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الكريم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114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نسخت هذه الآية المباركة ما نزّل في كتاب البيان بخصوص واجب تقديم الهدايا القيّمة الّتي لا مثيل لها، حين المثول في حضرة من يظهره 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وأبان حضرة الباب بما أنّ المظهر الإلهيّ لا 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دل له، فيكون من الواجب أن يهدى بما لا نظير له، إلاّ إذا أمر هو بغير ذلك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eastAsia="MS Mincho;ＭＳ 明朝"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>
        <w:lang w:bidi="ar-JO"/>
      </w:rPr>
    </w:pPr>
    <w:r>
      <w:rPr>
        <w:rtl w:val="true"/>
        <w:lang w:bidi="ar-JO"/>
      </w:rPr>
      <w:t>تقديم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أثمن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الهدايا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إلى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صاحب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الأمر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الإلهي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