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التّمسك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بأسباب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الاتّحاد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إيّاكم أن تفرّقكم شئونات 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فس والهوى كونوا كالأصابع في اليد والأركان للبدن كذلك يعظكم قلم الوحي إن أنتم من الموقنين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الله أحب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الوصل والوفاق وأبغض الفصل والطّلاق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حدّد في البيان برضآء الط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رفين إنّا لمّا أردنا المحب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ة والوداد واتّحاد العباد لذا علّقناه بإذن الأبوين بعدهما لئلّا تقع بينهم الضّغينة والبغضآء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أحبّائي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اتّحدوا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 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أرياح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الإختلاف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 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تعلمون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 المبين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تعذّبني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ويتفرّق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اجتماعهم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لأنّک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بعثتني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تّحادهم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عراضهم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قبالهم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وتوجّههم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قل أن اتّحدوا في كلمتكم واتّفقوا في رأيكم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