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مراجعه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طبیب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حاذق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هنگام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بیماری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مرضتم ارجعوا إلى الحذّاق من الأطب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إنّا ما رفعنا الأسباب بل أثبتناها من هذا القلم الّذي جعله الله مطلع أمره المشرق المنير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تَتْرُکِ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الْعِلاجَ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حْتِيَاجِ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وَدَعْهُ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اسْتِقَامَةِ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المَزَاج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طبّ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قَابِلِ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مْرَاضَ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سْبابِ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القَوْلُ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فَصْلُ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الخِطَابِ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طبّ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لاستقامة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المزاج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للعلاج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تجويز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جَلالُهُ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عِلْم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جرّاحين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متابعت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توّجه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تاثّرات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مناجاتهائی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،تلاوت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استجابت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دردمندان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مجروحين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ببالين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بيماری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شادمانی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رميم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محيی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سقيم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>-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معالجه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مراجعه به طبیب حاذق هنگام بیماری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