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سؤال صاحب الأمر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لتسئلوا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اسئلوا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ينفعكم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وسلطانه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000000"/>
          <w:sz w:val="28"/>
          <w:szCs w:val="28"/>
          <w:lang w:bidi="ar-JO"/>
        </w:rPr>
      </w:pPr>
      <w:r>
        <w:rPr>
          <w:rFonts w:eastAsia="Arial Unicode MS" w:cs="Traditional Arabic" w:ascii="Traditional Arabic" w:hAnsi="Traditional Arabic"/>
          <w:color w:val="00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نهى حضرة الباب في كتاب البيان عن 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يظهره 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أي حضرة بهاء الله، إلاّ إذا طرحوا أسئلتهم في موضوعات تليق بعلوّ مقامه، وقدّموها كتابة إلى أعتابه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ارجع إلى منتخبات من آثار حضرة النّقطة الأولى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lang w:bidi="ar-JO"/>
      </w:rPr>
    </w:pPr>
    <w:r>
      <w:rPr>
        <w:rtl w:val="true"/>
        <w:lang w:bidi="ar-JO"/>
      </w:rPr>
      <w:t>تحريم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سؤال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صاحب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الأمر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