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مرمّت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حفاظت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مقامات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متبرّکه منسوب</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w:t>
      </w:r>
      <w:r>
        <w:rPr>
          <w:rFonts w:ascii="Traditional Arabic" w:hAnsi="Traditional Arabic" w:cs="Traditional Arabic"/>
          <w:b/>
          <w:b/>
          <w:bCs/>
          <w:color w:val="0000CC"/>
          <w:sz w:val="56"/>
          <w:sz w:val="56"/>
          <w:szCs w:val="56"/>
          <w:rtl w:val="true"/>
          <w:lang w:bidi="fa-IR"/>
        </w:rPr>
        <w:t xml:space="preserve"> </w:t>
      </w:r>
    </w:p>
    <w:p>
      <w:pPr>
        <w:pStyle w:val="Normal"/>
        <w:bidi w:val="1"/>
        <w:ind w:left="0" w:right="0" w:hanging="0"/>
        <w:jc w:val="center"/>
        <w:rPr/>
      </w:pPr>
      <w:r>
        <w:rPr>
          <w:rFonts w:ascii="Traditional Arabic" w:hAnsi="Traditional Arabic" w:cs="Traditional Arabic"/>
          <w:b/>
          <w:b/>
          <w:bCs/>
          <w:color w:val="0000CC"/>
          <w:sz w:val="56"/>
          <w:sz w:val="56"/>
          <w:szCs w:val="56"/>
          <w:rtl w:val="true"/>
          <w:lang w:bidi="fa-IR"/>
        </w:rPr>
        <w:t>دو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شارع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مقدّس</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امرالله</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وارفعنّ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البيتين في المقامين والمقامات الّتي فيها استقرّ عرش ربّكم الرّحمن كذلك يأمركم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مولى العارفين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2</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ارتفاع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مقامين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مقامات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مستقرّ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عرش</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مقصود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نقطه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مقامات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ديگر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اختيار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بلد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محلّ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مرتفع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اختيار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کنند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32</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فانظروا إلى الحجر الأسود الّذي جعله الله مقبل العالمين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هل يكون هذا الفضل من نفسه لا ونفسي وهل يكون هذا العزّ من ذاته لا وذاتي الّذي عجز عن عرفانه من في العالمين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كذلك فانظر في المسجد الأقصى والأماكن الّتي جعلناها مطاف من في الأطراف والأقطار لم يكن شرفها منها بل بما تنسب إلى مظاهرنا الّذين جعلناهم مطالع وحينا بين العباد إن أنتم من العالمين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كتاب مبين، ص</w:t>
      </w:r>
      <w:r>
        <w:rPr>
          <w:rFonts w:cs="Traditional Arabic" w:ascii="Traditional Arabic" w:hAnsi="Traditional Arabic"/>
          <w:color w:val="FF0000"/>
          <w:sz w:val="28"/>
          <w:szCs w:val="28"/>
        </w:rPr>
        <w:t>24</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باب</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 </w:t>
      </w:r>
      <w:r>
        <w:rPr>
          <w:rFonts w:ascii="Traditional Arabic" w:hAnsi="Traditional Arabic" w:eastAsia="MS Mincho;ＭＳ 明朝" w:cs="Traditional Arabic"/>
          <w:sz w:val="28"/>
          <w:sz w:val="28"/>
          <w:szCs w:val="28"/>
          <w:rtl w:val="true"/>
          <w:lang w:bidi="ar-JO"/>
        </w:rPr>
        <w:t>بمثل</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نسبة</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البيت</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إلى</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الله</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وهي</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نسبة تشريف</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إلى</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الإبداع</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لا</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إلى</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الذّات</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إذ</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إنّه</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مقدّسة</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عن</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ذكر</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الإشارات والنّسب</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والدّلالات</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وال</w:t>
      </w:r>
      <w:r>
        <w:rPr>
          <w:rFonts w:ascii="Traditional Arabic" w:hAnsi="Traditional Arabic" w:eastAsia="MS Mincho;ＭＳ 明朝" w:cs="Traditional Arabic"/>
          <w:color w:val="000000"/>
          <w:sz w:val="28"/>
          <w:sz w:val="28"/>
          <w:szCs w:val="28"/>
          <w:rtl w:val="true"/>
          <w:lang w:bidi="ar-JO"/>
        </w:rPr>
        <w:t>علامات</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والمقامات</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والتّجلّيات</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والنّفحات إليه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وإنّه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كما</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هو</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عليه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لن</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يعرفه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إلّا</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 xml:space="preserve">هو </w:t>
      </w:r>
      <w:r>
        <w:rPr>
          <w:rFonts w:eastAsia="MS Mincho;ＭＳ 明朝" w:cs="Traditional Arabic" w:ascii="Traditional Arabic" w:hAnsi="Traditional Arabic"/>
          <w:color w:val="000000"/>
          <w:sz w:val="28"/>
          <w:szCs w:val="28"/>
          <w:rtl w:val="true"/>
          <w:lang w:bidi="ar-JO"/>
        </w:rPr>
        <w:t xml:space="preserve">" </w:t>
      </w:r>
      <w:r>
        <w:rPr>
          <w:rFonts w:eastAsia="MS Mincho;ＭＳ 明朝" w:cs="Traditional Arabic" w:ascii="Traditional Arabic" w:hAnsi="Traditional Arabic"/>
          <w:color w:val="FF0000"/>
          <w:sz w:val="28"/>
          <w:szCs w:val="28"/>
          <w:rtl w:val="true"/>
          <w:lang w:bidi="ar-JO"/>
        </w:rPr>
        <w:t>(</w:t>
      </w:r>
      <w:r>
        <w:rPr>
          <w:rFonts w:ascii="Traditional Arabic" w:hAnsi="Traditional Arabic" w:eastAsia="MS Mincho;ＭＳ 明朝" w:cs="Traditional Arabic"/>
          <w:color w:val="FF0000"/>
          <w:sz w:val="28"/>
          <w:sz w:val="28"/>
          <w:szCs w:val="28"/>
          <w:rtl w:val="true"/>
          <w:lang w:bidi="ar-JO"/>
        </w:rPr>
        <w:t>الرسالة الذهبية</w:t>
      </w:r>
      <w:r>
        <w:rPr>
          <w:rFonts w:eastAsia="MS Mincho;ＭＳ 明朝" w:cs="Traditional Arabic" w:ascii="Traditional Arabic" w:hAnsi="Traditional Arabic"/>
          <w:color w:val="FF0000"/>
          <w:sz w:val="28"/>
          <w:szCs w:val="28"/>
          <w:rtl w:val="true"/>
          <w:lang w:bidi="ar-JO"/>
        </w:rPr>
        <w:t>)</w:t>
      </w:r>
      <w:r>
        <w:rPr>
          <w:rFonts w:eastAsia="MS Mincho;ＭＳ 明朝" w:cs="Traditional Arabic" w:ascii="Traditional Arabic" w:hAnsi="Traditional Arabic"/>
          <w:color w:val="000000"/>
          <w:sz w:val="28"/>
          <w:szCs w:val="28"/>
          <w:rtl w:val="true"/>
          <w:lang w:bidi="ar-JO"/>
        </w:rPr>
        <w:t xml:space="preserve"> </w:t>
      </w:r>
    </w:p>
    <w:p>
      <w:pPr>
        <w:pStyle w:val="Normal"/>
        <w:bidi w:val="1"/>
        <w:ind w:left="0" w:right="0" w:hanging="0"/>
        <w:jc w:val="both"/>
        <w:rPr>
          <w:rFonts w:ascii="Traditional Arabic" w:hAnsi="Traditional Arabic" w:eastAsia="MS Mincho;ＭＳ 明朝" w:cs="Traditional Arabic"/>
          <w:color w:val="000000"/>
          <w:sz w:val="28"/>
          <w:szCs w:val="28"/>
          <w:lang w:bidi="ar-JO"/>
        </w:rPr>
      </w:pPr>
      <w:r>
        <w:rPr>
          <w:rFonts w:eastAsia="MS Mincho;ＭＳ 明朝" w:cs="Traditional Arabic" w:ascii="Traditional Arabic" w:hAnsi="Traditional Arabic"/>
          <w:color w:val="000000"/>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در باره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بيتين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بيت اعظم در بغداد و بيت نقطه در شيراز مقصود است هر يک را که حجّ نمايند کافی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٢٩</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٣٢</w:t>
      </w:r>
      <w:r>
        <w:rPr>
          <w:rFonts w:ascii="Traditional Arabic" w:hAnsi="Traditional Arabic" w:cs="Traditional Arabic"/>
          <w:sz w:val="28"/>
          <w:sz w:val="28"/>
          <w:szCs w:val="28"/>
          <w:rtl w:val="true"/>
        </w:rPr>
        <w:t xml:space="preserve">و يادداشت شماره </w:t>
      </w:r>
      <w:r>
        <w:rPr>
          <w:rFonts w:ascii="Traditional Arabic" w:hAnsi="Traditional Arabic" w:cs="Traditional Arabic"/>
          <w:sz w:val="28"/>
          <w:sz w:val="28"/>
          <w:szCs w:val="28"/>
        </w:rPr>
        <w:t>٥٤</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fa-IR"/>
        </w:rPr>
        <w:t xml:space="preserve"> .</w:t>
      </w:r>
      <w:r>
        <w:rPr>
          <w:rFonts w:cs="Traditional Arabic" w:ascii="Traditional Arabic" w:hAnsi="Traditional Arabic"/>
          <w:sz w:val="28"/>
          <w:szCs w:val="28"/>
          <w:rtl w:val="true"/>
          <w:lang w:eastAsia="ja-JP" w:bidi="fa-IR"/>
        </w:rPr>
        <w:t xml:space="preserve"> </w:t>
      </w:r>
      <w:r>
        <w:rPr>
          <w:rFonts w:ascii="Traditional Arabic" w:hAnsi="Traditional Arabic" w:cs="Traditional Arabic"/>
          <w:sz w:val="28"/>
          <w:sz w:val="28"/>
          <w:szCs w:val="28"/>
          <w:rtl w:val="true"/>
        </w:rPr>
        <w:t xml:space="preserve">حضرت وليّ امراللّه در باره المقامات الّتی فيها استقرّ عرش ربّکم می فرمايند که اشاره به مقاماتی است که محلّ استقرار هيکل مبارک گشته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مبارک ميفرمايند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مقامات ديگر به اختيار اهل آن بلد است هر بيتی را که محلّ استقرار شده مرتفع نمايند يا يک بيت را اختيار کنند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فقره </w:t>
      </w:r>
      <w:r>
        <w:rPr>
          <w:rFonts w:ascii="Traditional Arabic" w:hAnsi="Traditional Arabic" w:cs="Traditional Arabic"/>
          <w:sz w:val="28"/>
          <w:sz w:val="28"/>
          <w:szCs w:val="28"/>
        </w:rPr>
        <w:t>٣٢</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مؤسّسات امری با شواهد و اسناد لازمه اماکن متبرّکه مربوط به حضرت بهاءاللّه و حضرت اعلی را مشخّص و حتّی المقدور ابتياع و تعدادی را به صورت اوليّه تعمير نموده‌اند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154</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Naskh MT for Bosch School">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eastAsia="Traditional Arabic" w:cs="Traditional Arabic" w:ascii="Traditional Arabic" w:hAnsi="Traditional Arabic"/>
        <w:sz w:val="24"/>
        <w:szCs w:val="24"/>
      </w:rPr>
      <w:t xml:space="preserve">  </w:t>
    </w:r>
    <w:r>
      <w:rPr>
        <w:rFonts w:ascii="Traditional Arabic" w:hAnsi="Traditional Arabic" w:cs="Traditional Arabic"/>
        <w:sz w:val="24"/>
        <w:sz w:val="24"/>
        <w:szCs w:val="24"/>
        <w:rtl w:val="true"/>
        <w:lang w:bidi="ar-SA"/>
      </w:rPr>
      <w:t>مرمّت و حفاظت مقامات متبرّکه منسوب به دو شارع مقدّس امرالله</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