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تجديد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الأماكن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المقدّسة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المنسوبة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إلى</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حضرة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الباب</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وحضرة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بهاء</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وصيانتها</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وارفعنّ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البيتين في المقامين والمقامات الّتي فيها استقرّ عرش ربّكم الرّحمن كذلك يأمركم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مولى العارفين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rPr>
        <w:t>لا</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133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ارتفاع البيتين في المقامين والمقامات الّتي استقرّ بها العرش</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المقصود بالبيتين، هما البيت الأعظم، وبيت النّقطة الأولى</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أم</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 الأماكن الأخرى، فلأهل البلاد الموجودة فيها الخيار في صون كلّ بيت استقرّ فيه العرش أو صون واحد منها ينتخبونه</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32</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فانظروا إلى الحجر الأسود الّذي جعله الله مقبل العالمين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هل يكون هذا الفضل من نفسه لا ونفسي وهل يكون هذا العزّ من ذاته لا وذاتي الّذي عجز عن عرفانه من في العالمين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كذلك فانظر في المسجد الأقصى والأماكن الّتي جعلناها مطاف من في الأطراف والأقطار لم يكن شرفها منها بل بما تنسب إلى مظاهرنا الّذين جعلناهم مطالع وحينا بين العباد إن أنتم من العالمين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الكتاب المبين، ص</w:t>
      </w:r>
      <w:r>
        <w:rPr>
          <w:rFonts w:cs="Traditional Arabic" w:ascii="Traditional Arabic" w:hAnsi="Traditional Arabic"/>
          <w:color w:val="FF0000"/>
          <w:sz w:val="28"/>
          <w:szCs w:val="28"/>
        </w:rPr>
        <w:t>24</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باب</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fa-IR"/>
        </w:rPr>
        <w:t>1</w:t>
      </w:r>
      <w:r>
        <w:rPr>
          <w:rFonts w:cs="Traditional Arabic" w:ascii="Traditional Arabic" w:hAnsi="Traditional Arabic"/>
          <w:sz w:val="28"/>
          <w:szCs w:val="28"/>
          <w:rtl w:val="true"/>
          <w:lang w:bidi="fa-IR"/>
        </w:rPr>
        <w:t xml:space="preserve"> – " </w:t>
      </w:r>
      <w:r>
        <w:rPr>
          <w:rFonts w:ascii="Traditional Arabic" w:hAnsi="Traditional Arabic" w:eastAsia="MS Mincho;ＭＳ 明朝" w:cs="Traditional Arabic"/>
          <w:sz w:val="28"/>
          <w:sz w:val="28"/>
          <w:szCs w:val="28"/>
          <w:rtl w:val="true"/>
          <w:lang w:bidi="ar-JO"/>
        </w:rPr>
        <w:t>بمثل</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نسبة</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البيت</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إلى</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الله</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وهي</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نسبة تشريف</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إلى</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الإبداع</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لا</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إلى</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الذّات</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إذ</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إنّه</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مقدّسة</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عن</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ذكر</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الإشارات والنّسب</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والدّلالات</w:t>
      </w:r>
      <w:r>
        <w:rPr>
          <w:rFonts w:ascii="Traditional Arabic" w:hAnsi="Traditional Arabic" w:eastAsia="MS Mincho;ＭＳ 明朝" w:cs="Traditional Arabic"/>
          <w:sz w:val="28"/>
          <w:sz w:val="28"/>
          <w:szCs w:val="28"/>
          <w:rtl w:val="true"/>
        </w:rPr>
        <w:t xml:space="preserve"> </w:t>
      </w:r>
      <w:r>
        <w:rPr>
          <w:rFonts w:ascii="Traditional Arabic" w:hAnsi="Traditional Arabic" w:eastAsia="MS Mincho;ＭＳ 明朝" w:cs="Traditional Arabic"/>
          <w:sz w:val="28"/>
          <w:sz w:val="28"/>
          <w:szCs w:val="28"/>
          <w:rtl w:val="true"/>
          <w:lang w:bidi="ar-JO"/>
        </w:rPr>
        <w:t>وال</w:t>
      </w:r>
      <w:r>
        <w:rPr>
          <w:rFonts w:ascii="Traditional Arabic" w:hAnsi="Traditional Arabic" w:eastAsia="MS Mincho;ＭＳ 明朝" w:cs="Traditional Arabic"/>
          <w:color w:val="000000"/>
          <w:sz w:val="28"/>
          <w:sz w:val="28"/>
          <w:szCs w:val="28"/>
          <w:rtl w:val="true"/>
          <w:lang w:bidi="ar-JO"/>
        </w:rPr>
        <w:t>علامات</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والمقامات</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والتّجلّيات</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والنّفحات إليه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وإنّه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كما</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هو</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عليه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لن</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يعرفه</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إلّا</w:t>
      </w:r>
      <w:r>
        <w:rPr>
          <w:rFonts w:ascii="Traditional Arabic" w:hAnsi="Traditional Arabic" w:eastAsia="MS Mincho;ＭＳ 明朝" w:cs="Traditional Arabic"/>
          <w:color w:val="000000"/>
          <w:sz w:val="28"/>
          <w:sz w:val="28"/>
          <w:szCs w:val="28"/>
          <w:rtl w:val="true"/>
        </w:rPr>
        <w:t xml:space="preserve"> </w:t>
      </w:r>
      <w:r>
        <w:rPr>
          <w:rFonts w:ascii="Traditional Arabic" w:hAnsi="Traditional Arabic" w:eastAsia="MS Mincho;ＭＳ 明朝" w:cs="Traditional Arabic"/>
          <w:color w:val="000000"/>
          <w:sz w:val="28"/>
          <w:sz w:val="28"/>
          <w:szCs w:val="28"/>
          <w:rtl w:val="true"/>
          <w:lang w:bidi="ar-JO"/>
        </w:rPr>
        <w:t xml:space="preserve">هو </w:t>
      </w:r>
      <w:r>
        <w:rPr>
          <w:rFonts w:eastAsia="MS Mincho;ＭＳ 明朝" w:cs="Traditional Arabic" w:ascii="Traditional Arabic" w:hAnsi="Traditional Arabic"/>
          <w:color w:val="000000"/>
          <w:sz w:val="28"/>
          <w:szCs w:val="28"/>
          <w:rtl w:val="true"/>
          <w:lang w:bidi="ar-JO"/>
        </w:rPr>
        <w:t xml:space="preserve">" </w:t>
      </w:r>
      <w:r>
        <w:rPr>
          <w:rFonts w:eastAsia="MS Mincho;ＭＳ 明朝" w:cs="Traditional Arabic" w:ascii="Traditional Arabic" w:hAnsi="Traditional Arabic"/>
          <w:color w:val="FF0000"/>
          <w:sz w:val="28"/>
          <w:szCs w:val="28"/>
          <w:rtl w:val="true"/>
          <w:lang w:bidi="ar-JO"/>
        </w:rPr>
        <w:t>(</w:t>
      </w:r>
      <w:r>
        <w:rPr>
          <w:rFonts w:ascii="Traditional Arabic" w:hAnsi="Traditional Arabic" w:eastAsia="MS Mincho;ＭＳ 明朝" w:cs="Traditional Arabic"/>
          <w:color w:val="FF0000"/>
          <w:sz w:val="28"/>
          <w:sz w:val="28"/>
          <w:szCs w:val="28"/>
          <w:rtl w:val="true"/>
          <w:lang w:bidi="ar-JO"/>
        </w:rPr>
        <w:t>الرسالة الذهبية</w:t>
      </w:r>
      <w:r>
        <w:rPr>
          <w:rFonts w:eastAsia="MS Mincho;ＭＳ 明朝" w:cs="Traditional Arabic" w:ascii="Traditional Arabic" w:hAnsi="Traditional Arabic"/>
          <w:color w:val="FF0000"/>
          <w:sz w:val="28"/>
          <w:szCs w:val="28"/>
          <w:rtl w:val="true"/>
          <w:lang w:bidi="ar-JO"/>
        </w:rPr>
        <w:t>)</w:t>
      </w:r>
      <w:r>
        <w:rPr>
          <w:rFonts w:eastAsia="MS Mincho;ＭＳ 明朝" w:cs="Traditional Arabic" w:ascii="Traditional Arabic" w:hAnsi="Traditional Arabic"/>
          <w:color w:val="000000"/>
          <w:sz w:val="28"/>
          <w:szCs w:val="28"/>
          <w:rtl w:val="true"/>
          <w:lang w:bidi="ar-JO"/>
        </w:rPr>
        <w:t xml:space="preserve"> </w:t>
      </w:r>
    </w:p>
    <w:p>
      <w:pPr>
        <w:pStyle w:val="Normal"/>
        <w:bidi w:val="1"/>
        <w:ind w:left="0" w:right="0" w:hanging="0"/>
        <w:jc w:val="both"/>
        <w:rPr>
          <w:rFonts w:ascii="Traditional Arabic" w:hAnsi="Traditional Arabic" w:eastAsia="MS Mincho;ＭＳ 明朝" w:cs="Traditional Arabic"/>
          <w:color w:val="000000"/>
          <w:sz w:val="28"/>
          <w:szCs w:val="28"/>
          <w:lang w:bidi="ar-JO"/>
        </w:rPr>
      </w:pPr>
      <w:r>
        <w:rPr>
          <w:rFonts w:eastAsia="MS Mincho;ＭＳ 明朝" w:cs="Traditional Arabic" w:ascii="Traditional Arabic" w:hAnsi="Traditional Arabic"/>
          <w:color w:val="000000"/>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حدّد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البيتين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بأنّهما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المبارك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بغداد</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وأسماه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وبيت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شيراز،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بالحجّ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إليهما</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29</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32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54</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left"/>
        <w:rPr>
          <w:rFonts w:ascii="Traditional Arabic" w:hAnsi="Traditional Arabic" w:cs="Traditional Arabic"/>
          <w:sz w:val="28"/>
          <w:szCs w:val="28"/>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وأبان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المقامات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استقرّ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عرش</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ربّكم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الأماكن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الإلهيّ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وتفضّل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فلأهل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البلاد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الموجودة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الخيار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صون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استقرّ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العرش</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صون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ينتخبونه</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32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اهتمّت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الهيئات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فعيّنت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الأماكن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التّاريخيّة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المقدّسة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اقترنت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بالمظهرين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الإلهيّين،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وجمعت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الوثائق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تملّكتها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وحافظت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عليها</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154</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