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To Perfume One’s Self</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Make use of rose water, and of pure perfume; this, indeed, is that which God hath loved from the beginning that hath no beginning, in order that there may be diffused from you what your Lord, the Incomparable, the All-Wise, desireth.</w:t>
      </w:r>
    </w:p>
    <w:p>
      <w:pPr>
        <w:pStyle w:val="Normal"/>
        <w:rPr/>
      </w:pPr>
      <w:r>
        <w:rPr>
          <w:rFonts w:cs="Traditional Arabic" w:ascii="Traditional Arabic" w:hAnsi="Traditional Arabic"/>
          <w:color w:val="0000CC"/>
          <w:sz w:val="28"/>
          <w:szCs w:val="28"/>
        </w:rPr>
        <w:t>(</w:t>
      </w:r>
      <w:r>
        <w:rPr>
          <w:color w:val="0000CC"/>
        </w:rPr>
        <w:t>The Kitáb-i-Aqdas, The Most Holy Book, Bahá’u’lláh, para. 76)</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Cleave ye unto the cord of refinement”</w:t>
      </w:r>
    </w:p>
    <w:p>
      <w:pPr>
        <w:pStyle w:val="Normal"/>
        <w:ind w:firstLine="720"/>
        <w:rPr>
          <w:rFonts w:ascii="Courier New" w:hAnsi="Courier New" w:cs="Courier New"/>
        </w:rPr>
      </w:pPr>
      <w:r>
        <w:rPr>
          <w:rFonts w:cs="Courier New" w:ascii="Courier New" w:hAnsi="Courier New"/>
        </w:rPr>
        <w:t>‘</w:t>
      </w:r>
      <w:r>
        <w:rPr>
          <w:rFonts w:cs="Courier New" w:ascii="Courier New" w:hAnsi="Courier New"/>
        </w:rPr>
        <w:t>Abdu’l</w:t>
        <w:noBreakHyphen/>
        <w:t xml:space="preserve">Bahá refers to the effect of </w:t>
      </w:r>
      <w:r>
        <w:rPr>
          <w:rFonts w:cs="Courier New" w:ascii="Courier New" w:hAnsi="Courier New"/>
          <w:i/>
        </w:rPr>
        <w:t>“purity and holiness, cleanliness and refinement”</w:t>
      </w:r>
      <w:r>
        <w:rPr>
          <w:rFonts w:cs="Courier New" w:ascii="Courier New" w:hAnsi="Courier New"/>
        </w:rPr>
        <w:t xml:space="preserve"> on the exaltation of </w:t>
      </w:r>
      <w:r>
        <w:rPr>
          <w:rFonts w:cs="Courier New" w:ascii="Courier New" w:hAnsi="Courier New"/>
          <w:i/>
        </w:rPr>
        <w:t>“the human condition”</w:t>
      </w:r>
      <w:r>
        <w:rPr>
          <w:rFonts w:cs="Courier New" w:ascii="Courier New" w:hAnsi="Courier New"/>
        </w:rPr>
        <w:t xml:space="preserve"> and </w:t>
      </w:r>
      <w:r>
        <w:rPr>
          <w:rFonts w:cs="Courier New" w:ascii="Courier New" w:hAnsi="Courier New"/>
          <w:i/>
        </w:rPr>
        <w:t>“the development of man’s inner reality.”</w:t>
      </w:r>
      <w:r>
        <w:rPr>
          <w:rFonts w:cs="Courier New" w:ascii="Courier New" w:hAnsi="Courier New"/>
        </w:rPr>
        <w:t xml:space="preserve"> He states: </w:t>
      </w:r>
      <w:r>
        <w:rPr>
          <w:rFonts w:cs="Courier New" w:ascii="Courier New" w:hAnsi="Courier New"/>
          <w:i/>
        </w:rPr>
        <w:t>“The fact of having a pure and spotless body exercises an influence upon the spirit of man.”</w:t>
      </w:r>
    </w:p>
    <w:p>
      <w:pPr>
        <w:pStyle w:val="Normal"/>
        <w:rPr/>
      </w:pPr>
      <w:r>
        <w:rPr>
          <w:rFonts w:cs="Traditional Arabic" w:ascii="Traditional Arabic" w:hAnsi="Traditional Arabic"/>
          <w:color w:val="0000CC"/>
          <w:sz w:val="28"/>
          <w:szCs w:val="28"/>
        </w:rPr>
        <w:t>(</w:t>
      </w:r>
      <w:r>
        <w:rPr>
          <w:color w:val="0000CC"/>
        </w:rPr>
        <w:t>The Kitáb-i-Aqdas, The Most Holy Book, Notes NO. 104)</w:t>
      </w:r>
    </w:p>
    <w:p>
      <w:pPr>
        <w:pStyle w:val="Normal"/>
        <w:rPr>
          <w:color w:val="0000CC"/>
        </w:rPr>
      </w:pPr>
      <w:r>
        <w:rPr>
          <w:color w:val="0000CC"/>
        </w:rPr>
      </w:r>
    </w:p>
    <w:p>
      <w:pPr>
        <w:pStyle w:val="Normal"/>
        <w:keepNext w:val="true"/>
        <w:jc w:val="left"/>
        <w:rPr>
          <w:rFonts w:ascii="Courier New" w:hAnsi="Courier New" w:cs="Courier New"/>
          <w:b/>
          <w:b/>
          <w:color w:val="0000CC"/>
          <w:sz w:val="24"/>
          <w:szCs w:val="24"/>
        </w:rPr>
      </w:pPr>
      <w:r>
        <w:rPr>
          <w:rFonts w:cs="Courier New" w:ascii="Courier New" w:hAnsi="Courier New"/>
          <w:b/>
          <w:color w:val="0000CC"/>
          <w:sz w:val="24"/>
          <w:szCs w:val="24"/>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Adopt ye such usages as are most in keeping with refinement.</w:t>
      </w:r>
      <w:r>
        <w:rPr>
          <w:rFonts w:cs="Courier New" w:ascii="Courier New" w:hAnsi="Courier New"/>
          <w:sz w:val="24"/>
          <w:szCs w:val="24"/>
          <w:highlight w:val="lightGray"/>
        </w:rPr>
        <w:t>”</w:t>
      </w:r>
    </w:p>
    <w:p>
      <w:pPr>
        <w:pStyle w:val="Normal"/>
        <w:ind w:firstLine="720"/>
        <w:rPr/>
      </w:pPr>
      <w:r>
        <w:rPr>
          <w:rFonts w:cs="Courier New" w:ascii="Courier New" w:hAnsi="Courier New"/>
        </w:rPr>
        <w:t xml:space="preserve">This is the first of several passages referring to the importance of refinement and cleanliness. The original Arabic word “laáfah” rendered here as </w:t>
      </w:r>
      <w:r>
        <w:rPr>
          <w:rFonts w:cs="Courier New" w:ascii="Courier New" w:hAnsi="Courier New"/>
          <w:i/>
        </w:rPr>
        <w:t>“refinement,”</w:t>
      </w:r>
      <w:r>
        <w:rPr>
          <w:rFonts w:cs="Courier New" w:ascii="Courier New" w:hAnsi="Courier New"/>
        </w:rP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74)</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