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شستن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اشیاء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ملوّث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پاک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طهّروا كلّ مكروه بالمآء الّذي لم يتغيّر بالثّلاث إيّاكم أن تستعملوا المآء الّذي تغيّر بالهوآء أو بشيء آخر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الأظفار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يحيط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أسبوع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وتنظيف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أبدانكم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استعملتموه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تمنعكم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ادخلوا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والمستعمل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خزآئن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حمّامات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العجم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قصدها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رآئحتها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تجنّبوا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تكوننّ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الصّاغرين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والغسلين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المنتنة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اتركوها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المقدّسين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الفردوس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ليتضوّع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أفئدة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ويغسل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ويكفيه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يسهّل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الشّاكرين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ماء بکر و حدّ مستعمل آن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آب قليل مثل يک کأس يا دو مقابل يا سه مقابل آن دست و رو در آن شستن از مستعمل مذکور ولکن اگر به حدّ کُر برسد از تغسيل يک وجه يا دو وجه تغيير نمی نمايد و در استعمال آن بأسی نبوده و نيست و اگر يکی از اوصاف ثلاثه در او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الجمله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91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علويّت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ترقّی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حقايق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امکانی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حتّی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...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ظاهره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جسمانی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روحانيّات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 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.)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Naskh MT for Bosch School" w:hAnsi="Naskh MT for Bosch School"/>
          <w:sz w:val="28"/>
          <w:szCs w:val="28"/>
          <w:lang w:bidi="fa-IR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fa-IR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اوصاف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ثلاثه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رنگ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توضيحات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کيفيّتی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٩١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105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3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اشاره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لطافت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متضمّن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متعدّد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معنوی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ظرافت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آراستگی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سليقه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نظافت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ملايمت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همچنين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رقّت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صفا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تنزيه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تقديس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مفاهيم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حسب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سياق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متبادر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ذهن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شستن اشیاء ملوّث در آب پاک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