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الإيمان والعرفان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فزتم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الإلهام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أقرّ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وآياته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واعترف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بأنّه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يسئل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يفعل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كلمة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جعلها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العقآئد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وأصلها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وبها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العاملين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اجعلوا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الكلمة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نصب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عيونكم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لئلّا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تزلّكم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إشارات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المعرضين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بالعكس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أقلّ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المعتدين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تحرّكه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أرياح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الشّبهات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وتقلّبه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المشركين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بالاستقامة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الكبرى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الأبهى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بذكره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منيع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 يعلّمكم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يخلّصكم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والحيرة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وينجّيكم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والآخرة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161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163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صْلُ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کُلِّ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الْعُلُومِ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عِرْفَانُ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جَلّ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جَلالُهُ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وَهَذَا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يُحَقّقَ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بِعِرْفَانِ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مَظْهَرِ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كل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Calibri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