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البلاء في سبيل الله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المحّب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الصّادق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يرجو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البلاء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کرجاء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العاصي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المغفرة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والمذنب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كلمات المكنونة العربية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49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يصيبک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تسلک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الرّاضين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رضائي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المشقّة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شوقا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للقائي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يصيبک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لجمال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كلمات المكنونة العربية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50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بلائي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عنايتي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ونقمة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وباطنه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ورحمة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فاستبق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زليّا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وروحا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قدميّا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فاعرفه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كلمات المكنونة العربية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51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وجمالي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تخضّب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شعرک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دمک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أك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الکونين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وضياء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الثّقلين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فاجهد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كلمات المكنونة العربية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47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فکّر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وتدبّر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فعلک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الفراش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تستشهد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التّراب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وتکون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ومظهر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فأنصف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كلمات المكنونة العربية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46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فاعلموا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والمحن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کانت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موکّلة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صفياء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حبّائه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لعباده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المنقطعين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تلهيهم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الت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جارة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يسبقونه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بالقول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العاملين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ويجري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للصّابرين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الملوك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MS Mincho;ＭＳ 明朝"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الحُزنُ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لِأَوْلِياءِ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وَأَصْفِيَائِهِ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وَالبَلَاءُ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لِأَحِبَّاءِ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>وَأُمَنَائِهِ</w:t>
      </w:r>
      <w:r>
        <w:rPr>
          <w:rFonts w:ascii="Traditional Arabic" w:hAnsi="Traditional Arabic" w:eastAsia="MS Mincho;ＭＳ 明朝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28"/>
          <w:sz w:val="28"/>
          <w:szCs w:val="28"/>
          <w:rtl w:val="true"/>
          <w:lang w:bidi="ar-JO"/>
        </w:rPr>
        <w:t xml:space="preserve">زيار حضرة سيد الشهداء </w:t>
      </w:r>
      <w:r>
        <w:rPr>
          <w:rFonts w:ascii="Traditional Arabic" w:hAnsi="Traditional Arabic" w:eastAsia="MS Mincho;ＭＳ 明朝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eastAsia="MS Mincho;ＭＳ 明朝" w:cs="Traditional Arabic"/>
          <w:color w:val="FF0000"/>
          <w:sz w:val="28"/>
          <w:sz w:val="28"/>
          <w:szCs w:val="28"/>
          <w:rtl w:val="true"/>
          <w:lang w:bidi="ar-JO"/>
        </w:rPr>
        <w:t xml:space="preserve"> الايام التسعة</w:t>
      </w: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8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غادية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الد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سکرة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الخضراء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وذبالة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لمصباحه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والس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السلطان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شاه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ناصر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الدين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القاجاري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9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بالبلاء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سنّته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القرون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الخالية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عصار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الماضية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SA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السلطان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شاه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ناصر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الدين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القاجاري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