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شهادت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بانفاق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شهادت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بخدمت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راضيا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وشاکرا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لقضائ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لتستريح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وتدبّر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شعرک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الکونين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الثّقلين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يذکروا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نبيائک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ورضيت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تمنّيت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ناياب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لسرعوا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يهدي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إلّا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المقتدر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سبحانه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ميطلبم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بزرگ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ستقامت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عبراتی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ريزد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ثالثی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شناسائی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بشناسد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بشناساند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ياّکل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احتراز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ايثاژ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؟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ولکنّ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٦١٨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رحيق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مختوم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عاشقانند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سالار مشتاقان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 قومي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يعلمون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 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نياسايند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بآلايش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نيالايند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مشکبوی 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بيالايند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مژده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نور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حاجی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آبادی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مينمود 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الأبهی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مستضئی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مسموع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 مثبوت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استغفراللّه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پيراهن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لئالی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 ساعتی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 باختن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تاختن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انبساط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بميدان بسالت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متشتّت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صفوف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سپاه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شکست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سپاه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دانائی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هجوم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رزم مظفّر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حرکت 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نصرت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شتافت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دلکش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شهادت بانفاق دم و شهادت بخدمت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