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اطاعة‌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اجرای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احکام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تعاليم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فزتم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الإلهام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أوتوا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بصآئر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رعاع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أمرناكم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والهوى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ماجت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هاجت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اغتنموا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نكثوا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أوامره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ونكصوا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أعقابهم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الغنيّ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أوامري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ومفاتيح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لبريّتي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لينفق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خزآئن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ليثبت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أوامره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المشرقة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العناية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والألطاف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حدودي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يمرّ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قميصي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وبها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تنصب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أعلام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النّصر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القنن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والأتلال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تكلّم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قدرتي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جبروت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عظمتي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مخاطبا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لبريّتي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اعملوا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حدودي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حبّا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لجمالي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طوبى لحبيب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وجد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المحبوب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الكلمة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فاحت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توصف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بالأذكار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لعمري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رحيق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الإنصاف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أيادي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الألطاف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يطوف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أوامري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المشرقة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أفق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الإبداع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تحسبنّ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بأصابع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الوحي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تفكّروا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الأفكار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تمسّكوا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وأحكامه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أخذوا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ونبذوا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ورآئهم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اتّبعوا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سألت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فأعلم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يعملوا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ونحن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الشّجرة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يتجاوز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واتّباع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    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التّقلّل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والتّکثّر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فاعلموا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ناءه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بمضمون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تجليات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بامعان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                         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،طالع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مصائب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متاعب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تحمّل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نصايح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سازيم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 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اطاعة‌ اللّه و اجرای احکام و تعاليم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