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حرمت ازدواج مجدّد با زوجه مطلّقه قبلی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نهاكم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عملتم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طلقات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ثلاث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لتكونوا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الشّاكرين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مسطورا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lang w:bidi="ar-JO"/>
        </w:rPr>
        <w:t>68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ثلث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نازل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رساله سؤال و جواب –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شرايط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مجدّداً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مطلّقه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اند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101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b/>
        <w:b/>
        <w:bCs/>
        <w:lang w:bidi="fa-IR"/>
      </w:rPr>
    </w:pPr>
    <w:r>
      <w:rPr>
        <w:rFonts w:ascii="Traditional Arabic" w:hAnsi="Traditional Arabic" w:cs="Traditional Arabic"/>
        <w:b/>
        <w:b/>
        <w:bCs/>
        <w:rtl w:val="true"/>
        <w:lang w:bidi="fa-IR"/>
      </w:rPr>
      <w:t xml:space="preserve">حرمت ازدواج مجدّد با زوجه مطلّقه قبلی </w:t>
    </w:r>
  </w:p>
  <w:p>
    <w:pPr>
      <w:pStyle w:val="Header"/>
      <w:bidi w:val="1"/>
      <w:ind w:left="0" w:right="0" w:hanging="0"/>
      <w:jc w:val="both"/>
      <w:rPr>
        <w:rFonts w:ascii="Arial" w:hAnsi="Arial" w:cs="Arial"/>
        <w:b/>
        <w:b/>
        <w:bCs/>
        <w:color w:val="000000"/>
        <w:sz w:val="24"/>
        <w:lang w:bidi="fa-IR"/>
      </w:rPr>
    </w:pPr>
    <w:r>
      <w:rPr>
        <w:rFonts w:cs="Arial" w:ascii="Arial" w:hAnsi="Arial"/>
        <w:b/>
        <w:bCs/>
        <w:color w:val="000000"/>
        <w:sz w:val="24"/>
        <w:rtl w:val="true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