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تحريم الزواج من جديد بالمطلقة ثلاثا إلى بعد زواجها من آخر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pacing w:val="-4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نهاكم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عما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عملتم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طلقات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ثلاث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فضلا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عنده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لتكونوا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الشّاكرين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الأمر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مسطورا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  <w:lang w:bidi="ar-JO"/>
        </w:rPr>
        <w:t xml:space="preserve">كتاب 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  <w:lang w:bidi="ar-JO"/>
        </w:rPr>
        <w:t>الأ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  <w:lang w:bidi="ar-JO"/>
        </w:rPr>
        <w:t xml:space="preserve">قدس – 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  <w:lang w:bidi="ar-JO"/>
        </w:rPr>
        <w:t>الفقرة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lang w:bidi="ar-JO"/>
        </w:rPr>
        <w:t>68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4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  <w:lang w:bidi="ar-JO"/>
        </w:rPr>
      </w:r>
    </w:p>
    <w:p>
      <w:pPr>
        <w:pStyle w:val="Normal"/>
        <w:tabs>
          <w:tab w:val="left" w:pos="749" w:leader="none"/>
        </w:tabs>
        <w:bidi w:val="1"/>
        <w:ind w:left="0" w:right="0" w:hanging="1440"/>
        <w:jc w:val="left"/>
        <w:rPr/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المباركة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نهاكم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عمّا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عملتم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طلقات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ثلث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</w:p>
    <w:p>
      <w:pPr>
        <w:pStyle w:val="Normal"/>
        <w:tabs>
          <w:tab w:val="left" w:pos="749" w:leader="none"/>
        </w:tabs>
        <w:bidi w:val="1"/>
        <w:ind w:left="0" w:right="0" w:hanging="144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  <w:t xml:space="preserve">    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جواب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بضرورة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تزوّج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المطلّقة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ثلاثا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بآخر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لمطلّقها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الأقدس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رسالة سؤال وجواب –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  <w:lang w:bidi="ar-JO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الكريمة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الشّريعة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الإسلاميّة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المنزّل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القرآن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ويقضي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ظروف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معيّنة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للزّوج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يردّ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مطلّقته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تزوّجت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بآخر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طلّقت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101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eastAsia="MS Mincho;ＭＳ 明朝"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1"/>
      <w:ind w:left="0" w:right="0" w:hanging="0"/>
      <w:jc w:val="left"/>
      <w:rPr>
        <w:rFonts w:ascii="Traditional Arabic" w:hAnsi="Traditional Arabic" w:cs="Traditional Arabic"/>
        <w:color w:val="0000CC"/>
        <w:sz w:val="24"/>
        <w:szCs w:val="24"/>
        <w:lang w:bidi="fa-IR"/>
      </w:rPr>
    </w:pPr>
    <w:r>
      <w:rPr>
        <w:rFonts w:ascii="Traditional Arabic" w:hAnsi="Traditional Arabic" w:cs="Traditional Arabic"/>
        <w:color w:val="0000CC"/>
        <w:sz w:val="24"/>
        <w:sz w:val="24"/>
        <w:szCs w:val="24"/>
        <w:rtl w:val="true"/>
        <w:lang w:bidi="fa-IR"/>
      </w:rPr>
      <w:t>تحريم الزواج من جديد بالمطلقة ثلاثا إلى بعد زواجها من آخر</w:t>
    </w:r>
  </w:p>
  <w:p>
    <w:pPr>
      <w:pStyle w:val="Header"/>
      <w:bidi w:val="1"/>
      <w:ind w:left="0" w:right="0" w:hanging="0"/>
      <w:jc w:val="both"/>
      <w:rPr>
        <w:rFonts w:ascii="Arial" w:hAnsi="Arial" w:cs="Arial"/>
        <w:color w:val="000000"/>
        <w:sz w:val="24"/>
        <w:szCs w:val="24"/>
        <w:lang w:bidi="fa-IR"/>
      </w:rPr>
    </w:pPr>
    <w:r>
      <w:rPr>
        <w:rFonts w:cs="Arial" w:ascii="Arial" w:hAnsi="Arial"/>
        <w:color w:val="000000"/>
        <w:sz w:val="24"/>
        <w:szCs w:val="24"/>
        <w:rtl w:val="true"/>
        <w:lang w:bidi="fa-I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