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إعلاء منزلة العلمآء في البهاء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طوبى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لكم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معشر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العلمآء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البهآء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تالله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أنتم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أمواج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البحر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وأنجم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سمآء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الفضل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وألوية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النّصر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السّموات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والأرضين 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أنتم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مطالع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الاستقامة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البريّة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ومشارق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الإمكان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طوبى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أقبل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إليكم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ويل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للمعرضين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174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انصروا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قوم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أصفيآئي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قاموا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ذكري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خلقي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وارتفاع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كلمتي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مملكتي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أولئك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أنجم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سمآء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عنايتي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ومصابيح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هدايتي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للخلآئق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أجمعين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117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تُسْقِطُوا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مَنْزَلَةَ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العُلَمَاءِ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البَهَاءِ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وَلَا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تُصَغِّرُوا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قَدْرَ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يَعْدِلُ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بَيْنَكُم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الأُمَرَاءِ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 حكمة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