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عفّت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عصمت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حکماء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بالعصمة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ليقومنّ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ويتوجّهنّ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والسّماء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٤٢٥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لرؤوس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٢٩٩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مصيباتی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ضايع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رعاة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اغنام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ذئب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 * 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(*)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٤٢٥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عبارت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نشده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خباثت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٢٩٩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مضمون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بفارسی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بابدع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نيفتد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مطمئنه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تنزيه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طهارت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عفتيّه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* 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٤٥٠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-(*)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طبق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مرقومه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اداره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آرشيو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صحيح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صاحبخانه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يکنفر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عفّت و عصمت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