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قناعت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صْلُ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الْعِزَّةِ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هُوَ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قَنَاعَةُ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الْعَبْدِ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بِمَا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رُزِقَ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وَالْ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کْتِفَاءُ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بِمَا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قُدِّرَ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الْزَمِ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الْقَنَاعةَ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کُلّ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حْوَالِ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بِهَا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تَسْلَمُ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الْنّفْسُ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الْکِسَالَةِ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وَسُوْءِ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الْحَالِ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 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طبّ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٢٢٣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ساذج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گذاشت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بقناعت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قانع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لازال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حريص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قانع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دانش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نازکی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بهره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.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٢٦٣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گنجينه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مسپاريد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٢٦٥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موردی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سهولت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معيشت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ثروت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موقّت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توسيع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دائره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پژيشانی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عاقبت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٢٢٩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اسراف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سرگردان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تعارفات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مخارجات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مينمايم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اداء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وظائف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ملاحظات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نتائج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بغداد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ادرنه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لباس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پودش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گسسته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داشتم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راضی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بقرض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نميشدم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بعضِ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ملاحظات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محقّر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ارزانتر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محلّی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محلّات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ميگرفتم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چيزی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رفع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احتياج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خوراک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زياده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احتياج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افسردگی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کسالت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بمرض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٣٢٤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قناعت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بقوّه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..."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قناعت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