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خدمت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تأخذکم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أمري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وارتفاع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كلمتي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معكم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الأحوال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وننصركم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بالحقّ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كنّا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قادرين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عرفني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خدمتي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بقيام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تقعده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والأرضين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يؤيدکم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محيطا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SA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ونراکم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وننصر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الملائکة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  <w:lang w:bidi="ar-SA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SA"/>
        </w:rPr>
        <w:t>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منصورا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ليغلّبه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مئة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ليغلّبه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بمسخّر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بمکافات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عقايد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بهائيان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مسألت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بقميص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فرصت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غنيمت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عنقريب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بحفره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خاموشی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درآئيم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آتشی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برافروزيم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بسوزيم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بگشائيم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عبوديّت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تعجيل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بيماری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عبوديّت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نامتناهی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٢٣٦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برآرد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بعبوديّت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واصرفوا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وافدوا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ورخائکم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واهجروا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وطانکم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وانصرفوا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وابتغاء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لمرضاته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عزازا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لمؤسّساته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ثباتا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لنفوذ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نشينيم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فرصت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کوتاه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افتخارات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بميزانی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انتساب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تأمّل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وظايف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باندازهخد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برندارد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مغناطيس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فعّال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فعّاليّت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اشعّه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پاداش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مجهودات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مجاهدتی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گسترش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موعوده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خدمت امراللّه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