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عقاب من يتسبب في حزن آخر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 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ويوصيكم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بالبِرّ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والتّقوى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المنير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نسخ حضرة بهاء الله حكم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البيان الفارسيّ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بشأن الغرامة عقابا لمن تسبّب في حزن غيره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>عقاب من يتسبب في حزن آخر</w:t>
    </w:r>
  </w:p>
  <w:p>
    <w:pPr>
      <w:pStyle w:val="Header"/>
      <w:bidi w:val="1"/>
      <w:ind w:left="0" w:right="0" w:hanging="0"/>
      <w:jc w:val="both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rtl w:val="true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