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بقضا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صطبار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كلمات مباركه مكنونه عربي،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البأساء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صطبر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تجزع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ويرفعک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محمودا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للصّابرين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البأساء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والضّرّاء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يجزعوا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السّالکين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ملوک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رؤسای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ارض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الشّدائد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ويذکره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الاصحاب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نيکوکاری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هفت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وادی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اصطبار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شيخ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محمّد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تقی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نجفی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الوثقای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اصطبار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يوفّی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الصّابرون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زمر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نيکوست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مرزوق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الرّازقين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الحافظين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واگذارند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بقضايای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سلمان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ظالمی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اگراذيّت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دلتنگ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احمد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فارسي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٠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بقضائی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فليطلب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مصيبتی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تحمّل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مصفّی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بقضائی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فليطلب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نپويند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تفويض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راسخا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صابرا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شاکرا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متّحدا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متحمّل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مراحل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اتعاب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اوصاب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مأيوس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rtl w:val="true"/>
        <w:lang w:bidi="ar-SA"/>
      </w:rPr>
      <w:t>صبر در بلا و رضا بقضا</w:t>
    </w:r>
    <w:r>
      <w:rPr>
        <w:rFonts w:ascii="Traditional Arabic" w:hAnsi="Traditional Arabic" w:cs="Traditional Arabic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