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قلب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پاک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نيّت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خالص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الرُّوحِ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الْقَوْلِ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امْلِکْ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قَلْباً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جَيِّداً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حَسَناً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مُنِيْراً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لِتَمْلِکَ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مُلْکاً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دَائِماً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بَاقِياً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زَلاً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قَدِيمْاً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الْوُجُوْدِ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فُؤادُکَ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مَنْزِلِي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قَدِّسِهُ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لِنُزُولِي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وَرُوحِکَ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مَنْظَرِي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طَهِّرْهَا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لِظُهُوْرِي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طَهِّرْ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قَلْبَکَ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ذْکَارِ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لِيَنْطَبِعَ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عَليْهِ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مِرْآتُ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ذِکْرِ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الْمُخْتَارِ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يُغْنِيْکَ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کُلِّ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شَيءٍ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الَّذِيْنَهُمْ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يَعْرِفُونَ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الحجّ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چالاک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اُنس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بصيقل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بگنجد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گذاشتی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حَرَم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شتافت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نگشودم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خجلت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نپسنديدم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  <w:lang w:bidi="ar-SA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مسطور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هويداست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استحقاق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جَلَّ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ذِکْرُهُ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يَزَل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اشارات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تجليّات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ايران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هندوستان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بياشامد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ملّاح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بصيقل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يَسْعَنِي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اَرْضِي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سَمَائِي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وَلَکَنْ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يَسْعَنِي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قَلْبُ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عَبْدِي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الْمُؤمِن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لئالی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حُبّم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عُظمی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عطيّه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تطهير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طهارت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ممتاز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انعکاسات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فُؤاَدُکَ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مَنْزِلِي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قَدِّسْهُ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لِنُزُوْلِي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قَلْبُکَ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مَنْظَري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طَهِّرْهَا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لِظُهُوْرِي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تحقّق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اروپا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پرتوی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متديّن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بِاَيّ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وَجهٍ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کَانَ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مدنيّه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محقّقين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مرجّح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شوائب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قصّاب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گوسفندی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قصّاب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پرورش،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گوسفند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شوائب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قطعه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مفاوضات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قِسم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صميمی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برخيزيد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زجاج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زکيّه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تجليّات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عبوديّت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لذيذتر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حوادث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درصورتيکه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متوحّش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هولناکی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بنظرش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بيانات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شفاهی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منهمک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منجذب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صبحگاهی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درخشنده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بشائبه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مأيوس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نحوی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مشتهيات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دائماً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ص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</w:rPr>
        <w:t>١٩٢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ج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توقيعات مبارکه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قلب پاک و نيّت خالص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