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تعاون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تعاضد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استجارکم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ؤ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مستطيعا فاجروه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تحرموه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کوتاهی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دريای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دانش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تمشيت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عضدا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قل أن اتّحدوا في كلمتكم واتّفقوا في رأيكم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لوح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حكمت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تکليف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تعاضد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سائر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کائنات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نامتناهی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تعاضد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قائم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تعاضد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متبادله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کائنات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متلاشی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٠٠٠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تعاضد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انعدام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اضمحلال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استمداد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بالاتر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تعاضد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شديدتر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تعاضد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سائر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بقسمی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زندگانی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مربوط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بقسمی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حقائق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تأسيسات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نتائجش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...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تعاضد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فرائض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هيئت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تعاضد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جانفشانی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دلکش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بمثابه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يخشد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معاونت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احکام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اجزای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تبادل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هيئت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معدوم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صعود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شؤون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تعاضد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مافوق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باهره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اتقان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تعاضد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تبادل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محصور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جسمانيّات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شؤون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معنوی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ادراکات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احساسات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سائر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متينه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محکمی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ادارک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ازدياد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بيشتر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جمعيّت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ترقّی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هيئت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شؤون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فدای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جهانيان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پرستش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٢٩٠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مصائب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غمخوار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مشترکند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روابط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١٦٢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آخر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مبرّات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ترجيح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استثناء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بالبنان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مدارس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ادبيّه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محتاج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فقيرند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مجّانا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صندوق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بمنکوبين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محتاجين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نحل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مساعده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مشروعات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هموطنان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بمعاضدت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مساعده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وادبی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سالهای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١٩٢٧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تعاضد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مختلفه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رونق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استحکام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مؤسسّات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بيفزايد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٢٩٠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مباركه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بحدوث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زلزله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شديدی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بنويس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اشتراک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بواسطه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مرکزی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منکوبين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محتاجين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مخابره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واجب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اوليای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آئين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فعلا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ثابت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مبرهن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انجمنهای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ادبيّه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انجمنی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مقصدش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استطاعت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مساعده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مشارکت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فعلا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مداخله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سياسيّه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امتناع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٣١٥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سالهای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١٩٢٢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تعاون و تعاضد</w:t>
    </w:r>
    <w:r>
      <w:rPr>
        <w:rFonts w:ascii="Traditional Arabic" w:hAnsi="Traditional Arabic" w:cs="Traditional Arabic"/>
        <w:sz w:val="24"/>
        <w:sz w:val="24"/>
        <w:szCs w:val="24"/>
      </w:rPr>
      <w:t xml:space="preserve">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