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وظائف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آداب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اصحاب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كأنّهم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يدخلون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أمنآء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ووكلآء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ويشاوروا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يشاورون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أمورهم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ويختاروا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الأنظار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پيام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ملکوت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فريضه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خشوع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ساميه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اشعّه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درختان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بوستانند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رئيسی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دستورالعمل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رئيس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ملايمت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پردازند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بمنازعه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مخاصمه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محترمه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ملايمت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محترمه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اغبراری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متکدّر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ننشيند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شيطانی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بتمامها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اغاثه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سنوحات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توفيق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هجوم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٥٠٦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خصائل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فرائض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شور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وتنبّه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اکناف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اجرائاتش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بمقاصد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نيفزايند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بپوشند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مسامحه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هشيار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تزوير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مغرضين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موکوله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تفحّص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تعمّق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مرجوعه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مباحثات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تصميمی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تصميم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طرفداری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رسوخی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کاملااحساسات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تمايلات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اقداماتی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تحکّم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وسائلی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معرّفی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فطرتا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تفوّق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مروّجين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موکّلين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تفوّق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استکبار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تسلّط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تدبّر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معضلات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مصلحت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تصميم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رغبت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بآستانی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تبتّل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احتجاج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رنجش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انحراف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خصائل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فرائض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شور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تصويب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اجرائاتش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قانونا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اغليّيت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اغليّيت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ماضيه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نميدانستند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نميگرديدند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استبداد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بمراکز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بالاطلاق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خواندند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تامرکز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،مرکز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انشقاق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انعقاد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ايفای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انعکاس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تأخّر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تقهقر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     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٩٥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بديهيست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مرتّبادر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بهمرساند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مسؤوليّت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بعنوان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جريانات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باستعفا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تشخيص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متمرّدين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بلزوم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امتناع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مرجوعه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نظامات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وظائف و آداب اصحاب شور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