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عدم طهارت ماء نطفه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قد حكم الله بالطّهارة على مآء النّطفة رحمة من عنده على البريّة اشكروه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الرّوح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والرّيحان ولا تتّبعوا من كان عن مطلع القرب بعيدا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74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بر حسب عقايد بعضی از مذاهب نظير شيعه اسلام ماء نطفه ناپاک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جمال مبارک در آيه فوق اين عقيده را مردود شمرده‌اند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36"/>
          <w:szCs w:val="36"/>
          <w:rtl w:val="true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>
        <w:lang w:bidi="ar-JO"/>
      </w:rPr>
    </w:pPr>
    <w:r>
      <w:rPr>
        <w:rtl w:val="true"/>
        <w:lang w:bidi="ar-JO"/>
      </w:rPr>
      <w:t>عدم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طهارت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ماء</w:t>
    </w:r>
    <w:r>
      <w:rPr>
        <w:rFonts w:cs="Calibri"/>
        <w:rtl w:val="true"/>
        <w:lang w:bidi="ar-JO"/>
      </w:rPr>
      <w:t xml:space="preserve"> </w:t>
    </w:r>
    <w:r>
      <w:rPr>
        <w:rtl w:val="true"/>
        <w:lang w:bidi="ar-JO"/>
      </w:rPr>
      <w:t>نطفه</w:t>
    </w:r>
    <w:r>
      <w:rPr>
        <w:rFonts w:cs="Calibri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