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نجاسة ماء النطفة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حكم الله بالطّهارة على مآء النّطفة رحمة من عنده على البريّة اشكروه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الرّوح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والرّيحان ولا تتّبعوا من كان عن مطلع القرب بعيدا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ساد في عدد من المذاهب الدّيني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اعتقاد يعتبر ماء النّطفة نجس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وقد ألغى حضرة بهاء الله هذا المفهوم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نجاسة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ماء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النطفة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