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rFonts w:ascii="Calibri" w:hAnsi="Calibri" w:cs="Traditional Arabic"/>
          <w:b/>
          <w:b/>
          <w:bCs/>
          <w:color w:val="FF0000"/>
          <w:sz w:val="56"/>
          <w:szCs w:val="56"/>
          <w:u w:val="single"/>
        </w:rPr>
      </w:pPr>
      <w:r>
        <w:rPr>
          <w:rFonts w:cs="Traditional Arabic" w:ascii="Calibri" w:hAnsi="Calibri"/>
          <w:b/>
          <w:bCs/>
          <w:color w:val="FF0000"/>
          <w:sz w:val="56"/>
          <w:szCs w:val="56"/>
          <w:u w:val="single"/>
        </w:rPr>
        <w:t>Uncleanliness of Semen</w:t>
      </w:r>
    </w:p>
    <w:p>
      <w:pPr>
        <w:pStyle w:val="PlainText"/>
        <w:jc w:val="both"/>
        <w:rPr>
          <w:rFonts w:ascii="Calibri" w:hAnsi="Calibri" w:cs="Traditional Arabic"/>
          <w:b/>
          <w:b/>
          <w:bCs/>
          <w:color w:val="FF0000"/>
          <w:sz w:val="28"/>
          <w:szCs w:val="28"/>
          <w:u w:val="single"/>
        </w:rPr>
      </w:pPr>
      <w:r>
        <w:rPr>
          <w:rFonts w:cs="Traditional Arabic" w:ascii="Calibri" w:hAnsi="Calibri"/>
          <w:b/>
          <w:bCs/>
          <w:color w:val="FF0000"/>
          <w:sz w:val="28"/>
          <w:szCs w:val="28"/>
          <w:u w:val="single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ind w:firstLine="720"/>
        <w:jc w:val="both"/>
        <w:rPr>
          <w:rFonts w:ascii="Calibri" w:hAnsi="Calibri" w:cs="Traditional Arabic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  <w:t>God hath decreed, in token of His mercy unto His creatures, that semen is not unclean.</w:t>
      </w:r>
    </w:p>
    <w:p>
      <w:pPr>
        <w:pStyle w:val="Normal"/>
        <w:rPr/>
      </w:pPr>
      <w:r>
        <w:rPr>
          <w:rFonts w:cs="Traditional Arabic" w:ascii="Traditional Arabic" w:hAnsi="Traditional Arabic"/>
          <w:color w:val="0000CC"/>
          <w:sz w:val="28"/>
          <w:szCs w:val="28"/>
        </w:rPr>
        <w:t>(</w:t>
      </w:r>
      <w:r>
        <w:rPr>
          <w:color w:val="0000CC"/>
        </w:rPr>
        <w:t>The Kitáb-i-Aqdas, The Most Holy Book, Bahá’u’lláh, para. 74)</w:t>
      </w:r>
    </w:p>
    <w:p>
      <w:pPr>
        <w:pStyle w:val="PlainText"/>
        <w:jc w:val="both"/>
        <w:rPr>
          <w:rFonts w:ascii="Calibri" w:hAnsi="Calibri" w:cs="Traditional Arabic"/>
          <w:color w:val="0000CC"/>
          <w:sz w:val="28"/>
          <w:szCs w:val="28"/>
        </w:rPr>
      </w:pPr>
      <w:r>
        <w:rPr>
          <w:rFonts w:cs="Traditional Arabic" w:ascii="Calibri" w:hAnsi="Calibri"/>
          <w:color w:val="0000CC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center"/>
        <w:rPr>
          <w:rFonts w:ascii="Calibri" w:hAnsi="Calibri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jc w:val="left"/>
        <w:rPr>
          <w:rFonts w:ascii="Calibri" w:hAnsi="Calibri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/>
          <w:b/>
          <w:bCs/>
          <w:color w:val="FF0000"/>
          <w:sz w:val="28"/>
          <w:szCs w:val="28"/>
          <w:lang w:bidi="fa-IR"/>
        </w:rPr>
      </w:r>
    </w:p>
    <w:p>
      <w:pPr>
        <w:pStyle w:val="Normal"/>
        <w:jc w:val="left"/>
        <w:rPr>
          <w:rFonts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/>
          <w:b/>
          <w:bCs/>
          <w:sz w:val="28"/>
          <w:szCs w:val="28"/>
          <w:lang w:bidi="fa-IR"/>
        </w:rPr>
      </w:r>
    </w:p>
    <w:p>
      <w:pPr>
        <w:pStyle w:val="Normal"/>
        <w:jc w:val="left"/>
        <w:rPr>
          <w:rFonts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/>
          <w:b/>
          <w:bCs/>
          <w:sz w:val="28"/>
          <w:szCs w:val="28"/>
          <w:lang w:bidi="fa-IR"/>
        </w:rPr>
      </w:r>
    </w:p>
    <w:p>
      <w:pPr>
        <w:pStyle w:val="Normal"/>
        <w:ind w:firstLine="720"/>
        <w:rPr/>
      </w:pPr>
      <w:r>
        <w:rPr>
          <w:sz w:val="36"/>
          <w:szCs w:val="36"/>
        </w:rPr>
        <w:t xml:space="preserve">In a number of religious traditions and in </w:t>
      </w:r>
      <w:r>
        <w:rPr>
          <w:sz w:val="36"/>
          <w:szCs w:val="36"/>
          <w:u w:val="single"/>
        </w:rPr>
        <w:t>Sh</w:t>
      </w:r>
      <w:r>
        <w:rPr>
          <w:sz w:val="36"/>
          <w:szCs w:val="36"/>
        </w:rPr>
        <w:t xml:space="preserve">í‘ih Muslim practice semen has been declared ritually unclean. Bahá’u’lláh has here dispelled this concept. See also note </w:t>
      </w:r>
      <w:hyperlink w:anchor="ka_en-5-106">
        <w:r>
          <w:rPr>
            <w:rStyle w:val="InternetLink"/>
            <w:sz w:val="36"/>
            <w:szCs w:val="36"/>
          </w:rPr>
          <w:t>106</w:t>
        </w:r>
      </w:hyperlink>
      <w:r>
        <w:rPr>
          <w:sz w:val="36"/>
          <w:szCs w:val="36"/>
        </w:rPr>
        <w:t xml:space="preserve"> below.</w:t>
      </w:r>
    </w:p>
    <w:p>
      <w:pPr>
        <w:pStyle w:val="Normal"/>
        <w:rPr/>
      </w:pPr>
      <w:r>
        <w:rPr>
          <w:rFonts w:cs="Traditional Arabic" w:ascii="Traditional Arabic" w:hAnsi="Traditional Arabic"/>
          <w:color w:val="0000CC"/>
          <w:sz w:val="28"/>
          <w:szCs w:val="28"/>
        </w:rPr>
        <w:t>(</w:t>
      </w:r>
      <w:r>
        <w:rPr>
          <w:color w:val="0000CC"/>
        </w:rPr>
        <w:t>The Kitáb-i-Aqdas, The Most Holy Book, Notes NO. 103)</w:t>
      </w:r>
    </w:p>
    <w:p>
      <w:pPr>
        <w:pStyle w:val="Normal"/>
        <w:rPr>
          <w:color w:val="0000CC"/>
        </w:rPr>
      </w:pPr>
      <w:r>
        <w:rPr>
          <w:color w:val="0000CC"/>
        </w:rPr>
      </w:r>
    </w:p>
    <w:p>
      <w:pPr>
        <w:pStyle w:val="Normal"/>
        <w:rPr>
          <w:color w:val="0000CC"/>
        </w:rPr>
      </w:pPr>
      <w:r>
        <w:rPr>
          <w:color w:val="0000CC"/>
        </w:rPr>
      </w:r>
    </w:p>
    <w:p>
      <w:pPr>
        <w:pStyle w:val="Normal"/>
        <w:jc w:val="center"/>
        <w:rPr>
          <w:rFonts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/>
          <w:b/>
          <w:bCs/>
          <w:color w:val="FF0000"/>
          <w:sz w:val="28"/>
          <w:szCs w:val="28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/>
          <w:b/>
          <w:bCs/>
          <w:color w:val="0000CC"/>
          <w:sz w:val="28"/>
          <w:szCs w:val="28"/>
          <w:lang w:bidi="fa-IR"/>
        </w:rPr>
      </w:r>
    </w:p>
    <w:p>
      <w:pPr>
        <w:pStyle w:val="Normal"/>
        <w:rPr>
          <w:rFonts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/>
          <w:b/>
          <w:bCs/>
          <w:color w:val="0000CC"/>
          <w:sz w:val="36"/>
          <w:szCs w:val="36"/>
          <w:lang w:bidi="fa-IR"/>
        </w:rPr>
      </w:r>
    </w:p>
    <w:p>
      <w:pPr>
        <w:pStyle w:val="Normal"/>
        <w:rPr>
          <w:rFonts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/>
          <w:b/>
          <w:bCs/>
          <w:sz w:val="36"/>
          <w:szCs w:val="36"/>
          <w:lang w:bidi="fa-IR"/>
        </w:rPr>
      </w:r>
    </w:p>
    <w:p>
      <w:pPr>
        <w:pStyle w:val="Normal"/>
        <w:tabs>
          <w:tab w:val="left" w:pos="3490" w:leader="none"/>
        </w:tabs>
        <w:rPr>
          <w:rFonts w:cs="Traditional Arabic"/>
          <w:sz w:val="36"/>
          <w:szCs w:val="36"/>
          <w:lang w:bidi="fa-IR"/>
        </w:rPr>
      </w:pPr>
      <w:r>
        <w:rPr>
          <w:rFonts w:cs="Traditional Arabic"/>
          <w:sz w:val="36"/>
          <w:szCs w:val="36"/>
          <w:lang w:bidi="fa-IR"/>
        </w:rPr>
        <w:tab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8"/>
      </w:rPr>
    </w:pPr>
    <w:r>
      <w:rPr>
        <w:rFonts w:cs="Courier New" w:ascii="Courier New" w:hAnsi="Courier New"/>
        <w:color w:val="0000FF"/>
        <w:sz w:val="24"/>
        <w:szCs w:val="1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rFonts w:ascii="Arial" w:hAnsi="Arial" w:cs="Arial"/>
        <w:color w:val="000000"/>
        <w:sz w:val="24"/>
        <w:lang w:bidi="ar-JO"/>
      </w:rPr>
    </w:pPr>
    <w:r>
      <w:rPr>
        <w:rFonts w:cs="Arial" w:ascii="Arial" w:hAnsi="Arial"/>
        <w:color w:val="000000"/>
        <w:sz w:val="24"/>
        <w:rtl w:val="true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